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C" w:rsidRPr="00247341" w:rsidRDefault="0073044C">
      <w:pPr>
        <w:pStyle w:val="1460"/>
      </w:pPr>
      <w:r w:rsidRPr="00247341">
        <w:t>Распоряжение Правительства РФ от 29 июля 2013 г. № 1336-р</w:t>
      </w:r>
    </w:p>
    <w:p w:rsidR="0073044C" w:rsidRPr="00247341" w:rsidRDefault="0073044C">
      <w:pPr>
        <w:pStyle w:val="1406"/>
        <w:spacing w:after="0"/>
      </w:pPr>
      <w:r w:rsidRPr="00247341">
        <w:t>Об утверждении плана мероприятий ("дорожной карты") "Совершенствование правового регулирования градостроительной деятельности и улучшение предпринимательского климата в сфере строительства"</w:t>
      </w:r>
    </w:p>
    <w:p w:rsidR="0073044C" w:rsidRPr="00247341" w:rsidRDefault="0073044C">
      <w:pPr>
        <w:jc w:val="center"/>
        <w:rPr>
          <w:rFonts w:ascii="Times New Roman" w:hAnsi="Times New Roman" w:cs="Times New Roman"/>
        </w:rPr>
      </w:pPr>
      <w:proofErr w:type="gramStart"/>
      <w:r w:rsidRPr="00247341">
        <w:rPr>
          <w:rFonts w:ascii="Times New Roman" w:hAnsi="Times New Roman" w:cs="Times New Roman"/>
        </w:rPr>
        <w:t>(в редакции, актуальной с 24 ноября 2014 г.,</w:t>
      </w:r>
      <w:proofErr w:type="gramEnd"/>
    </w:p>
    <w:p w:rsidR="0073044C" w:rsidRPr="00247341" w:rsidRDefault="0073044C">
      <w:pPr>
        <w:jc w:val="center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 xml:space="preserve">с изменениями и дополнениями, </w:t>
      </w:r>
      <w:r w:rsidRPr="00247341">
        <w:rPr>
          <w:rFonts w:ascii="Times New Roman" w:hAnsi="Times New Roman" w:cs="Times New Roman"/>
          <w:u w:val="single"/>
        </w:rPr>
        <w:t>внесенными в текст</w:t>
      </w:r>
      <w:r w:rsidRPr="00247341">
        <w:rPr>
          <w:rFonts w:ascii="Times New Roman" w:hAnsi="Times New Roman" w:cs="Times New Roman"/>
        </w:rPr>
        <w:t>,</w:t>
      </w:r>
    </w:p>
    <w:p w:rsidR="0073044C" w:rsidRPr="00247341" w:rsidRDefault="0073044C">
      <w:pPr>
        <w:jc w:val="center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согласно распоряжениям Правительства РФ: от 13.03.2014 г. № 354-р,</w:t>
      </w:r>
    </w:p>
    <w:p w:rsidR="0073044C" w:rsidRPr="00247341" w:rsidRDefault="0073044C">
      <w:pPr>
        <w:spacing w:after="120"/>
        <w:jc w:val="center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от 02.07.2014 г. № 1211-р, от 24.11.2014 г. № 2343-р)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1. Утвердить прилагаемый план мероприятий ("дорожную карту") "Совершенствование правового регулирования градостроительной деятельности и улучшение предпринимательского климата в сфере строительства" (далее - план).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2. Руководителям федеральных органов исполнительной власти, ответственных за реализацию плана: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обеспечить реализацию плана;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ежеквартально, до 5-го числа месяца, следующего за отчетным кварталом, представлять в Минэкономразвития России информацию о ходе реализации плана.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3. Мониторинг и контроль реализации плана осуществлять в соответствии с распоряжением Правительства Российской Федерации от 6 сентября 2012 г. № 1613-р.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4. Минфину России и федеральным органам исполнительной власти, ответственным за реализацию плана, при подготовке проекта федерального бюджета на очередной финансовый год и плановый период учитывать в установленном порядке мероприятия, предусмотренные планом.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5. Признать утратившими силу: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распоряжение Правительства Российской Федерации от 16 августа 2012 г. № 1487-р (Собрание законодательства Российской Федерации, 2012, № 35, ст. 4849);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пункт 10 распоряжения Правительства Российской Федерации от 6 сентября 2012 г. № 1613-р (Собрание законодательства Российской Федерации, 2012, № 37, ст. 5040);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пункт 4 изменений, которые вносятся в акты Правительства Российской Федерации, утвержденных распоряжением Правительства Российской Федерации от 26 марта 2013 г. № 440-р (Собрание законодательства Российской Федерации, 2013, № 13, ст. 1605).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341"/>
      </w:tblGrid>
      <w:tr w:rsidR="0073044C" w:rsidRPr="00247341"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 w:rsidP="00247341">
            <w:pPr>
              <w:autoSpaceDE w:val="0"/>
              <w:autoSpaceDN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</w:rPr>
              <w:t>Председатель Правительства Российской Федерации</w:t>
            </w:r>
          </w:p>
        </w:tc>
        <w:tc>
          <w:tcPr>
            <w:tcW w:w="2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044C" w:rsidRPr="00247341" w:rsidRDefault="0073044C" w:rsidP="00247341">
            <w:pPr>
              <w:autoSpaceDE w:val="0"/>
              <w:autoSpaceDN w:val="0"/>
              <w:ind w:firstLine="567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</w:rPr>
              <w:t xml:space="preserve">Д. Медведев </w:t>
            </w:r>
          </w:p>
        </w:tc>
      </w:tr>
    </w:tbl>
    <w:p w:rsidR="0073044C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 </w:t>
      </w:r>
    </w:p>
    <w:p w:rsidR="00247341" w:rsidRDefault="00247341" w:rsidP="00247341">
      <w:pPr>
        <w:ind w:firstLine="567"/>
        <w:jc w:val="both"/>
        <w:rPr>
          <w:rFonts w:ascii="Times New Roman" w:hAnsi="Times New Roman" w:cs="Times New Roman"/>
        </w:rPr>
      </w:pPr>
    </w:p>
    <w:p w:rsidR="00247341" w:rsidRPr="00247341" w:rsidRDefault="00247341" w:rsidP="00247341">
      <w:pPr>
        <w:ind w:firstLine="567"/>
        <w:jc w:val="both"/>
        <w:rPr>
          <w:rFonts w:ascii="Times New Roman" w:eastAsiaTheme="minorEastAsia" w:hAnsi="Times New Roman" w:cs="Times New Roman"/>
          <w:color w:val="000000"/>
        </w:rPr>
      </w:pPr>
    </w:p>
    <w:p w:rsidR="0073044C" w:rsidRPr="00247341" w:rsidRDefault="0073044C" w:rsidP="00247341">
      <w:pPr>
        <w:pStyle w:val="1260"/>
        <w:rPr>
          <w:sz w:val="28"/>
          <w:szCs w:val="28"/>
        </w:rPr>
      </w:pPr>
      <w:r w:rsidRPr="00247341">
        <w:rPr>
          <w:sz w:val="28"/>
          <w:szCs w:val="28"/>
        </w:rPr>
        <w:lastRenderedPageBreak/>
        <w:t xml:space="preserve">План мероприятий ("дорожная карта") </w:t>
      </w:r>
      <w:r w:rsidRPr="00247341">
        <w:rPr>
          <w:sz w:val="28"/>
          <w:szCs w:val="28"/>
        </w:rPr>
        <w:br/>
        <w:t>"Совершенствование правового регулирования градостроительной деятельности и улучшение предпринимательского климата в сфере строительства"</w:t>
      </w:r>
    </w:p>
    <w:p w:rsidR="0073044C" w:rsidRPr="00247341" w:rsidRDefault="0073044C" w:rsidP="00247341">
      <w:pPr>
        <w:pStyle w:val="1206"/>
        <w:rPr>
          <w:sz w:val="28"/>
          <w:szCs w:val="28"/>
        </w:rPr>
      </w:pPr>
      <w:r w:rsidRPr="00247341">
        <w:rPr>
          <w:sz w:val="28"/>
          <w:szCs w:val="28"/>
        </w:rPr>
        <w:t>(утв. распоряжением Правительства РФ от 29 июля 2013 г. № 1336-р)</w:t>
      </w:r>
    </w:p>
    <w:p w:rsidR="0073044C" w:rsidRPr="00247341" w:rsidRDefault="0073044C" w:rsidP="00247341">
      <w:pPr>
        <w:pStyle w:val="1"/>
        <w:ind w:firstLine="567"/>
        <w:jc w:val="both"/>
        <w:rPr>
          <w:rFonts w:eastAsia="Times New Roman"/>
        </w:rPr>
      </w:pPr>
      <w:r w:rsidRPr="00247341">
        <w:rPr>
          <w:rFonts w:eastAsia="Times New Roman"/>
        </w:rPr>
        <w:t>I. Общее описание "дорожной карты"</w:t>
      </w:r>
    </w:p>
    <w:p w:rsidR="0073044C" w:rsidRPr="00247341" w:rsidRDefault="0073044C" w:rsidP="00247341">
      <w:pPr>
        <w:ind w:firstLine="567"/>
        <w:jc w:val="both"/>
        <w:rPr>
          <w:rFonts w:ascii="Times New Roman" w:eastAsiaTheme="minorEastAsia" w:hAnsi="Times New Roman" w:cs="Times New Roman"/>
        </w:rPr>
      </w:pPr>
      <w:r w:rsidRPr="00247341">
        <w:rPr>
          <w:rFonts w:ascii="Times New Roman" w:hAnsi="Times New Roman" w:cs="Times New Roman"/>
        </w:rPr>
        <w:t>1. Реализация плана мероприятий ("дорожной карты") "Совершенствование правового регулирования градостроительной деятельности и улучшение предпринимательского климата в сфере строительства" (далее - "дорожная карта") призвана улучшить предпринимательский климат в сфере градостроительной деятельности, в том числе упростить процессы осуществления строительства от стадии подготовки градостроительной документации до ввода объектов в эксплуатацию и регистрации прав собственности.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2. Целями "дорожной карты" являются: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упрощение градостроительной подготовки земельных участков;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совершенствование регуляторной среды;</w:t>
      </w:r>
    </w:p>
    <w:p w:rsidR="0073044C" w:rsidRPr="00247341" w:rsidRDefault="0073044C" w:rsidP="00247341">
      <w:pPr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сокращение административных барьеров в строительстве, включая сокращение количества процедур, связанных с реализацией инвестиционно-строительных проектов, а также совокупного времени и расходов на их прохождение.</w:t>
      </w:r>
    </w:p>
    <w:p w:rsidR="0073044C" w:rsidRPr="00247341" w:rsidRDefault="0073044C" w:rsidP="00247341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 xml:space="preserve">3. В качестве контрольных показателей реализации "дорожной карты" определены позиция в рейтинге Всемирного банка </w:t>
      </w:r>
      <w:proofErr w:type="spellStart"/>
      <w:r w:rsidRPr="00247341">
        <w:rPr>
          <w:rFonts w:ascii="Times New Roman" w:hAnsi="Times New Roman" w:cs="Times New Roman"/>
        </w:rPr>
        <w:t>Doing</w:t>
      </w:r>
      <w:proofErr w:type="spellEnd"/>
      <w:r w:rsidRPr="00247341">
        <w:rPr>
          <w:rFonts w:ascii="Times New Roman" w:hAnsi="Times New Roman" w:cs="Times New Roman"/>
        </w:rPr>
        <w:t xml:space="preserve"> </w:t>
      </w:r>
      <w:proofErr w:type="spellStart"/>
      <w:r w:rsidRPr="00247341">
        <w:rPr>
          <w:rFonts w:ascii="Times New Roman" w:hAnsi="Times New Roman" w:cs="Times New Roman"/>
        </w:rPr>
        <w:t>Business</w:t>
      </w:r>
      <w:proofErr w:type="spellEnd"/>
      <w:r w:rsidRPr="00247341">
        <w:rPr>
          <w:rFonts w:ascii="Times New Roman" w:hAnsi="Times New Roman" w:cs="Times New Roman"/>
        </w:rPr>
        <w:t xml:space="preserve"> по показателю "Получение разрешения на строительство" и показатели эффективности деятельности руководителей федеральных органов исполнительной власти (Минстроя России) по созданию благоприятных условий ведения предпринимательской деятельности.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9"/>
        <w:gridCol w:w="993"/>
        <w:gridCol w:w="633"/>
        <w:gridCol w:w="633"/>
        <w:gridCol w:w="633"/>
      </w:tblGrid>
      <w:tr w:rsidR="0073044C" w:rsidRPr="00247341">
        <w:trPr>
          <w:jc w:val="center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контрольного показателя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Текущий момент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</w:tr>
      <w:tr w:rsidR="0073044C" w:rsidRPr="00247341">
        <w:trPr>
          <w:jc w:val="center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Позиция в рейтинге </w:t>
            </w: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Doing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Business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по показателю "Получение разрешения на строительство":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3044C" w:rsidRPr="00247341">
        <w:trPr>
          <w:jc w:val="center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количество процедур, необходимых для получения разрешения на строительство (штук)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044C" w:rsidRPr="00247341">
        <w:trPr>
          <w:jc w:val="center"/>
        </w:trPr>
        <w:tc>
          <w:tcPr>
            <w:tcW w:w="3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совокупное время прохождения всех процедур, необходимых для получения разрешения на строительство (дней)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3044C" w:rsidRPr="00247341">
        <w:trPr>
          <w:jc w:val="center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объем затрат, необходимых для получения разрешения на строительство (процентов от дохода на душу населения)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73044C" w:rsidRPr="00247341">
        <w:trPr>
          <w:jc w:val="center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деятельности руководителей и Минстроя России осуществляется в соответствии с разделом III перечня 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показателей оценки эффективности деятельности руководителей федеральных органов исполнительной власти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по созданию благоприятных условий ведения предпринимательской деятельности (до 2018 года), утвержденного распоряжением Правительства Российской Федерации от 10 апреля 2014 г. № 570-р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3044C" w:rsidRPr="00247341" w:rsidRDefault="0073044C">
      <w:pPr>
        <w:pStyle w:val="1"/>
        <w:rPr>
          <w:rFonts w:eastAsia="Times New Roman"/>
        </w:rPr>
      </w:pPr>
      <w:r w:rsidRPr="00247341">
        <w:rPr>
          <w:rFonts w:eastAsia="Times New Roman"/>
          <w:color w:val="auto"/>
        </w:rPr>
        <w:br w:type="page"/>
      </w:r>
      <w:r w:rsidRPr="00247341">
        <w:rPr>
          <w:rFonts w:eastAsia="Times New Roman"/>
        </w:rPr>
        <w:lastRenderedPageBreak/>
        <w:t>II. План мероприятий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799"/>
        <w:gridCol w:w="1981"/>
        <w:gridCol w:w="1885"/>
        <w:gridCol w:w="1956"/>
      </w:tblGrid>
      <w:tr w:rsidR="0073044C" w:rsidRPr="00247341">
        <w:trPr>
          <w:jc w:val="center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Вид документа подтверждающего исполнение мероприятия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Исполнитель (исполнители)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73044C" w:rsidRPr="00247341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I. Обеспечение градостроительной подготовки земельных участков в целях стимулирования строительства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Установление обязанности органов государственной власти и органов местного самоуправления проводить аукционы по предоставлению свободных земельных участков по заявлениям граждан и юридических лиц, установление обязанности по передаче земельных участков, находящихся в государственной собственности, в собственность муниципальных образований, на территории которых приняты правила землепользования и застройки, за исключением земельных участков, необходимых для обеспечения государственных нужд, земельных участков, в отношении которых в Федеральный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фонд содействия развитию жилищного строительства поступили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 о вовлечении их в хозяйственный оборот, земельных участков, расположенных в границах особо охраняемых природных территорий федерального значения, а также в иных исключительных случаях, предусмотренных федеральным законом* (проект федерального закона № 444365-6 "О внесении изменений в Земельный кодекс Российской Федерации и отдельные законодательные акты Российской Федерации в части совершенствования порядка предоставления земельных участков, находящихся в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или муниципальной собственности")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 с участием заинтересованных федеральных органов исполнительной власти и Фонда "РЖС"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февраль - июнь 2014 г. - сопровождение рассмотрения проекта федерального закона Федеральным Собранием Российской Федерации до его одобрения Советом Федерации Федерального Собрания Российской Федерации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земельных участков, предоставляемых по результатам торгов для жилищного строительства; создание стимулов для качественной и своевременной подготовки градостроительной документации органами местного самоуправления (правил землепользования и застройки, документации по планировке территорий)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Завершение разработки правил землепользования и застройки городских поселений: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правил землепользования и застройки для всех городских округов и городских поселений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формы сводного плана-графика подготовки правил землепользования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и застройки городских поселений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ведомственный акт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июль 2013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планов-графиков утверждения правил землепользования и застройки городских поселений*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акты органов исполнительной власти субъектов Российской Федерации и органов местного самоуправления, утверждающие планы-графики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органы исполнительной власти субъектов Российской Федерации,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городских поселений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август 2013 г. - представление 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актов органов исполнительной власти субъектов Российской Федерации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местного самоуправления в </w:t>
            </w: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утверждение правил землепользования и застройки городских поселений*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акты органов местного самоуправления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городских поселений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июнь 2014 г.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 органами местного самоуправления сводных планов-графиков подготовки правил землепользования и застройки городских поселений (на основании информации, представляемой субъектами Российской Федерации)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доклад в Правительство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 с участием органов исполнительной власти субъектов Российской Федерации и органов местного самоуправления городских поселений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3. Установление обязанности органов местного самоуправления утверждать программы развития транспортной и социальной инфраструктуры в 6-месячный срок 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с даты утверждения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генеральных планов городских поселений и городских округов* (проект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 внесении изменений в Градостроительный кодекс Российской Федерации)* (проект федерального закона о внесении изменений в Градостроительный кодекс Российской Федерации)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- декабрь 2014 г. - сопровождение рассмотрения проекта федерального закона Федеральным Собранием Российской Федерации до его одобрения Советом Федерации Федерального Собрания Российской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населения объектами транспортной и социальной инфраструктуры и доступности таких объектов при застройке территорий</w:t>
            </w:r>
          </w:p>
        </w:tc>
      </w:tr>
      <w:tr w:rsidR="0073044C" w:rsidRPr="00247341">
        <w:trPr>
          <w:trHeight w:val="2308"/>
          <w:jc w:val="center"/>
        </w:trPr>
        <w:tc>
          <w:tcPr>
            <w:tcW w:w="10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Установление порядка утверждения документации по планировке территории на основании заявлений граждан и юридических лиц* (проект федерального закона о внесении изменений в Градостроительный кодекс Российской Федерации в части совершенствования правового регулирования вопросов подготовки, согласования и утверждения документации по планировке территории)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декабрь 2014 г. - внесение в Государственную Думу Федерального Собрания Российской Федерации проекта федерального закона</w:t>
            </w:r>
          </w:p>
        </w:tc>
        <w:tc>
          <w:tcPr>
            <w:tcW w:w="9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и юридическим лицам права участвовать в процедурах, связанных с планировкой территорий</w:t>
            </w:r>
          </w:p>
        </w:tc>
      </w:tr>
      <w:tr w:rsidR="0073044C" w:rsidRPr="00247341">
        <w:trPr>
          <w:trHeight w:val="25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январь - апрель 2015 г. - сопровождение рассмотрения проекта федерального закона Федеральным Собранием Российской Федерации до его одобрения Советом Федерации Федерального Собрания Российской Федерации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5. Обеспечение перехода от деления земель на категории к территориальному зонированию (проект федерального закона о внесении изменений в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кодекс Российской Федерации и отдельные законодательные акты Российской Федерации в части перехода от деления земель на категории к территориальному зонированию)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Минсельхоз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Минприроды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Минтранс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Минпромторг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Минкультуры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Минздрав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Минфин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Минэнерго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Минюст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2014 г. - внесение в Государственную Думу Федерального Собрания Российской Федерации проекта федерального закона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- сентябрь 2014 г. - сопровождение рассмотрения проекта федерального закона Федеральным Собранием Российской Федерации до его одобрения Советом Федерации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Федерального Собрания Российской Федерации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административных процедур при предоставлении земельных участков для строительства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Внесение изменений в законодательство Российской Федерации, направленных на налоговое стимулирование целевого использования земельных участков, предоставленных для жилищного строительства (в том числе в части уточнения применяемых при исчислении суммы налога корректирующих коэффициентов) (проекты федеральных законов о внесении изменений в некоторые законодательные акты Российской Федерации)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Минфин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сентябрь 2014 г. - внесение в Правительство Российской Федерации проектов федеральных законов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декабрь 2014 г. - внесение в Государственную Думу Федерального Собрания Российской Федерации проектов федеральных законов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январь - апрель 2015 г. - сопровождение рассмотрения проектов федеральных законов Федеральным Собранием Российской Федерации до их одобрения Советом Федерации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Собрания Российской Федерации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количества незастроенных земельных участков, предназначенных для строительства жилья, а также количества не завершенных строительством объектов жилищного фонда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Содействие в проведен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кционов по продаже земельных участков и предоставлению земельных участков в аренду для жилищного строительства</w:t>
            </w:r>
            <w:bookmarkStart w:id="0" w:name="_GoBack"/>
            <w:bookmarkEnd w:id="0"/>
            <w:r w:rsidRPr="0099795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земельных участков, предоставляемых для жилищного строительства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формы сводного плана-графика проведения аукционов по продаже и (или) предоставлению в аренду земельных участков (для органов местного самоуправления) и сводных планов-графиков проведения таких аукционов (для субъектов Российской Федерации) </w:t>
            </w:r>
            <w:hyperlink w:anchor="с1" w:tooltip="*" w:history="1">
              <w:r w:rsidRPr="0024734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ведомственный акт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 с участием Фонда "РЖС" и субъектов Российской Федерации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март 2014 г.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планов-графиков проведения аукционов по продаже и (или) предоставлению органами местного самоуправления в аренду земельных участков, а также сводного плана-графика по каждому субъекту Российской Федерации на период до 2016 года с включением планов-графиков в приложения к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соглашениям об объемах ввода жилья, заключаемым Минстроем России и субъектами Российской Федерации</w:t>
            </w:r>
            <w:r w:rsidRPr="0099795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акты органов исполнительной власти субъектов Российской Федерации и органов местного самоуправления, соглашения субъектов Российской Федерации и Минстроя России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 с участием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март 2014 г.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реализации планов-графиков проведения аукционов по продаже и предоставлению в аренду земельных участков</w:t>
            </w:r>
            <w:r w:rsidRPr="0099795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доклад в Правительство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 с участием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ежеквартально в течение 2014 - 2016 годов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44C" w:rsidRPr="00247341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044C" w:rsidRPr="00247341" w:rsidRDefault="0073044C">
            <w:pPr>
              <w:autoSpaceDE w:val="0"/>
              <w:autoSpaceDN w:val="0"/>
              <w:spacing w:before="60" w:after="6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II. Совершенствование регуляторной среды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8. Установление исчерпывающего перечня административных процедур в сфере жилищного строительства: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формирование исчерпывающего перечня административных процедур в сфере жилищного строительства и исключение практики установления субъектами Российской Федерации дополнительных процедур, не предусмотренных федеральным законодательством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наделение Правительства Российской Федерации полномочиями по утверждению перечня административных процедур в сфере строительства (проект федерального закона № 402124-6 "О внесении изменений в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Градостроительный кодекс Российской Федерации")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январь - март 2014 г. - сопровождение рассмотрения проекта федерального закона Федеральным Собранием Российской Федерации до его одобрения Советом Федерации Федерального Собрания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утверждение перечня административных процедур в сфере жилищного строительства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акт Правительства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Минэнерго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Минтранс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Минкультуры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ФАС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март 2014 г. - внесение в Правительство Российской Федерации проекта акта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9. Введение дополнительных требований к составу информации, размещаемой в федеральной государственной информационной системе территориального планирования, в части включения в нее региональных и местных нормативов градостроительного проектирования (поправки к проекту федерального закона № 86567-6 "О внесении изменений в Градостроительный кодекс Российской Федерации в части установления региональных и местных нормативов градостроительного проектирования")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январь - июнь 2014 г. - сопровождение рассмотрения проекта федерального закона Федеральным Собранием Российской Федерации до его одобрения Советом Федерации Федерального Собрания Российской Федерации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формирование информационной базы по региональным и местным нормативам градостроительного проектирования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Установление процедуры административного обжалования действий (бездействия) органов государственной власти и органов местного самоуправления, связанных с нарушением порядка осуществления полномочий в области строительства и земельных отношений, с внесением в Кодекс Российской Федерации об административных правонарушениях соответствующих норм в отношении должностных </w:t>
            </w:r>
            <w:proofErr w:type="gram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уполномоченных органов за нарушение порядка осуществления полномочий в сфере строительства и земельных отношений (проект федерального закона № 355250-6 "О внесении изменений в Федеральный закон "О защите конкуренции" и отдельные законодательные акты Российской Федерации")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ФАС России, Минстрой России, Минэкономразвития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октябрь 2013 г. - март 2014 г. - сопровождение рассмотрения проекта федерального закона Федеральным Собранием Российской Федерации до его одобрения Советом Федерации Федерального Собрания Российской Федерации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нарушений при осуществлении органами государственной власти и органами местного самоуправления полномочий в области строительства и земельных отношений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11. Оптимизация требований к составу и содержанию разделов проектной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объектов капитального строительства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Минкультуры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Минтранс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Минэнерго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Росрыболовство</w:t>
            </w:r>
            <w:proofErr w:type="spellEnd"/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2014 г. - внесение в Правительство Российской Федерации проекта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сокращение средних сроков проектирования</w:t>
            </w:r>
          </w:p>
        </w:tc>
      </w:tr>
      <w:tr w:rsidR="0073044C" w:rsidRPr="00247341">
        <w:trPr>
          <w:trHeight w:val="20"/>
          <w:jc w:val="center"/>
        </w:trPr>
        <w:tc>
          <w:tcPr>
            <w:tcW w:w="10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 Установление требований к составу и содержанию работ, осуществляемых в ходе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Минприроды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Минтранс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</w:tc>
        <w:tc>
          <w:tcPr>
            <w:tcW w:w="10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декабрь 2014 г. - внесение в Государственную Думу Федерального Собрания Российской Федерации проекта федерального закона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январь - апрель 2015 г. - сопровождение рассмотрения проекта федерального закона Федеральным Собранием Российской Федерации до его одобрения Советом Федерации Федерального Собрания Российской Федерации</w:t>
            </w:r>
          </w:p>
        </w:tc>
        <w:tc>
          <w:tcPr>
            <w:tcW w:w="9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инженерных изысканий, необходимых для подготовки документации по планировке территории</w:t>
            </w:r>
          </w:p>
        </w:tc>
      </w:tr>
      <w:tr w:rsidR="0073044C" w:rsidRPr="00247341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март 2014 г. - внесение в Правительство Российской Федерации проекта постановления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13. Уточнение требований к составу и содержанию работ по инженерным изысканиям для подготовки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проектной документации, строительства, реконструкции объектов капитального строительства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март 2014 г. - внесение в Правительство Российской Федерации проекта постановления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инженерных изысканий, выполняемых для подготовки проектной </w:t>
            </w: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документации, строительства, реконструкции объектов капитального строительства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 Установление требований к составу и оформлению задания и программы выполнения инженерных изысканий, а также к составу текстовой и графической частей материалов и результатов инженерных изысканий, включаемых в отчетные материалы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ведомственный акт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Минприроды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апрель 2014 г.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инженерных изысканий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15. Установление порядка формирования и ведения государственного фонда материалов и данных инженерных изысканий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Минстрой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июнь 2014 г. - внесение в Правительство Российской Федерации проекта постановления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снижение стоимости инженерных изысканий</w:t>
            </w:r>
          </w:p>
        </w:tc>
      </w:tr>
      <w:tr w:rsidR="0073044C" w:rsidRPr="00247341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spacing w:before="120" w:after="12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2473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Позиция исключена согласно распоряжению Правительства РФ от 24 ноября 2014 г. № 2343-р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17. Подготовка предложений о механизмах государственной поддержки комплексного развития территорий в целях строительства жилья экономического класса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доклад в Правительство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"Агентство стратегических инициатив по продвижению новых проектов",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proofErr w:type="spellStart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Минрегион</w:t>
            </w:r>
            <w:proofErr w:type="spellEnd"/>
            <w:r w:rsidRPr="00247341">
              <w:rPr>
                <w:rFonts w:ascii="Times New Roman" w:hAnsi="Times New Roman" w:cs="Times New Roman"/>
                <w:sz w:val="20"/>
                <w:szCs w:val="20"/>
              </w:rPr>
              <w:t xml:space="preserve"> России,</w:t>
            </w:r>
          </w:p>
          <w:p w:rsidR="0073044C" w:rsidRPr="00247341" w:rsidRDefault="0073044C">
            <w:pPr>
              <w:rPr>
                <w:rFonts w:ascii="Times New Roman" w:hAnsi="Times New Roman" w:cs="Times New Roman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Фонд "РЖС"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август 2013 г.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увеличение объемов строительства жилья экономического класса</w:t>
            </w:r>
          </w:p>
        </w:tc>
      </w:tr>
      <w:tr w:rsidR="0073044C" w:rsidRPr="00247341">
        <w:trPr>
          <w:jc w:val="center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 Мониторинг реализации "дорожной карты" и внесение при необходимости предложений по ее изменению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доклад в Правительство Российской Федерации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rPr>
                <w:rFonts w:ascii="Times New Roman" w:eastAsiaTheme="minorEastAsia" w:hAnsi="Times New Roman" w:cs="Times New Roman"/>
                <w:color w:val="000000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России,</w:t>
            </w:r>
          </w:p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"Агентство стратегических инициатив по продвижению новых проектов" с участием заинтересованных федеральных органов исполнительной власти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ежеквартально (в порядке, установленном абзацем третьим пункта 4 распоряжения Правительства Российской Федерации от 6 сентября 2012 г. № 1613-р)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44C" w:rsidRPr="00247341" w:rsidRDefault="0073044C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47341">
              <w:rPr>
                <w:rFonts w:ascii="Times New Roman" w:hAnsi="Times New Roman" w:cs="Times New Roman"/>
                <w:sz w:val="20"/>
                <w:szCs w:val="20"/>
              </w:rPr>
              <w:t>контроль реализации плана и подготовка предложений по дальнейшему совершенствованию законодательства в сфере градостроительной деятельности</w:t>
            </w:r>
          </w:p>
        </w:tc>
      </w:tr>
    </w:tbl>
    <w:p w:rsidR="0073044C" w:rsidRPr="00247341" w:rsidRDefault="0073044C">
      <w:pPr>
        <w:spacing w:before="120"/>
        <w:rPr>
          <w:rFonts w:ascii="Times New Roman" w:eastAsiaTheme="minorEastAsia" w:hAnsi="Times New Roman" w:cs="Times New Roman"/>
          <w:color w:val="000000"/>
        </w:rPr>
      </w:pPr>
      <w:r w:rsidRPr="00247341">
        <w:rPr>
          <w:rFonts w:ascii="Times New Roman" w:hAnsi="Times New Roman" w:cs="Times New Roman"/>
          <w:sz w:val="20"/>
          <w:szCs w:val="20"/>
        </w:rPr>
        <w:t>______________</w:t>
      </w:r>
    </w:p>
    <w:p w:rsidR="0073044C" w:rsidRPr="00247341" w:rsidRDefault="0073044C">
      <w:pPr>
        <w:rPr>
          <w:rFonts w:ascii="Times New Roman" w:hAnsi="Times New Roman" w:cs="Times New Roman"/>
        </w:rPr>
      </w:pPr>
      <w:bookmarkStart w:id="1" w:name="с1"/>
      <w:bookmarkEnd w:id="1"/>
      <w:r w:rsidRPr="00247341">
        <w:rPr>
          <w:rFonts w:ascii="Times New Roman" w:hAnsi="Times New Roman" w:cs="Times New Roman"/>
          <w:sz w:val="20"/>
          <w:szCs w:val="20"/>
        </w:rPr>
        <w:t>* За исключением городов федерального значения Москвы и Санкт-Петербурга.</w:t>
      </w:r>
    </w:p>
    <w:p w:rsidR="0073044C" w:rsidRPr="00247341" w:rsidRDefault="0073044C">
      <w:pPr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 </w:t>
      </w:r>
    </w:p>
    <w:p w:rsidR="0073044C" w:rsidRPr="00247341" w:rsidRDefault="0073044C">
      <w:pPr>
        <w:rPr>
          <w:rFonts w:ascii="Times New Roman" w:hAnsi="Times New Roman" w:cs="Times New Roman"/>
        </w:rPr>
      </w:pPr>
      <w:r w:rsidRPr="00247341">
        <w:rPr>
          <w:rFonts w:ascii="Times New Roman" w:hAnsi="Times New Roman" w:cs="Times New Roman"/>
        </w:rPr>
        <w:t> </w:t>
      </w:r>
    </w:p>
    <w:p w:rsidR="0073044C" w:rsidRPr="00247341" w:rsidRDefault="0073044C" w:rsidP="0073044C">
      <w:pPr>
        <w:rPr>
          <w:rFonts w:ascii="Times New Roman" w:hAnsi="Times New Roman" w:cs="Times New Roman"/>
          <w:vanish/>
          <w:color w:val="FFFFFF"/>
          <w:sz w:val="2"/>
        </w:rPr>
      </w:pPr>
      <w:r w:rsidRPr="00247341">
        <w:rPr>
          <w:rFonts w:ascii="Times New Roman" w:hAnsi="Times New Roman" w:cs="Times New Roman"/>
          <w:vanish/>
          <w:color w:val="FFFFFF"/>
          <w:sz w:val="2"/>
        </w:rPr>
        <w:t>0202S10-11535</w:t>
      </w:r>
    </w:p>
    <w:p w:rsidR="0073044C" w:rsidRPr="00247341" w:rsidRDefault="0073044C" w:rsidP="0073044C">
      <w:pPr>
        <w:rPr>
          <w:rFonts w:ascii="Times New Roman" w:hAnsi="Times New Roman" w:cs="Times New Roman"/>
          <w:color w:val="000000"/>
          <w:sz w:val="28"/>
        </w:rPr>
      </w:pPr>
    </w:p>
    <w:p w:rsidR="00225CCF" w:rsidRPr="00247341" w:rsidRDefault="00225CCF" w:rsidP="0073044C">
      <w:pPr>
        <w:rPr>
          <w:rFonts w:ascii="Times New Roman" w:hAnsi="Times New Roman" w:cs="Times New Roman"/>
          <w:color w:val="000000"/>
          <w:sz w:val="28"/>
        </w:rPr>
      </w:pPr>
    </w:p>
    <w:sectPr w:rsidR="00225CCF" w:rsidRPr="00247341" w:rsidSect="00434FC0">
      <w:headerReference w:type="even" r:id="rId7"/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CB" w:rsidRDefault="009051CB" w:rsidP="0073044C">
      <w:pPr>
        <w:spacing w:after="0" w:line="240" w:lineRule="auto"/>
      </w:pPr>
      <w:r>
        <w:separator/>
      </w:r>
    </w:p>
  </w:endnote>
  <w:endnote w:type="continuationSeparator" w:id="0">
    <w:p w:rsidR="009051CB" w:rsidRDefault="009051CB" w:rsidP="0073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1" w:rsidRDefault="0024734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47341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97956" w:rsidRPr="0099795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3044C" w:rsidRPr="0073044C" w:rsidRDefault="0073044C">
    <w:pPr>
      <w:pStyle w:val="a6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CB" w:rsidRDefault="009051CB" w:rsidP="0073044C">
      <w:pPr>
        <w:spacing w:after="0" w:line="240" w:lineRule="auto"/>
      </w:pPr>
      <w:r>
        <w:separator/>
      </w:r>
    </w:p>
  </w:footnote>
  <w:footnote w:type="continuationSeparator" w:id="0">
    <w:p w:rsidR="009051CB" w:rsidRDefault="009051CB" w:rsidP="0073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4C" w:rsidRDefault="0073044C" w:rsidP="00216D0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044C" w:rsidRDefault="0073044C" w:rsidP="0073044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41" w:rsidRDefault="00247341">
    <w:pPr>
      <w:pStyle w:val="a4"/>
    </w:pPr>
  </w:p>
  <w:p w:rsidR="0073044C" w:rsidRPr="0073044C" w:rsidRDefault="0073044C" w:rsidP="0073044C">
    <w:pPr>
      <w:pStyle w:val="a4"/>
      <w:ind w:right="360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10Q2P"/>
    <w:docVar w:name="NcsDomain" w:val="normacs.ru"/>
    <w:docVar w:name="NcsExportTime" w:val="2015-03-23 13:56:45"/>
    <w:docVar w:name="NcsSerial" w:val="NRMS10-11535"/>
    <w:docVar w:name="NcsUrl" w:val="normacs://normacs.ru/10Q2P?dob=42036.000150&amp;dol=42086.581065"/>
  </w:docVars>
  <w:rsids>
    <w:rsidRoot w:val="0073044C"/>
    <w:rsid w:val="00225CCF"/>
    <w:rsid w:val="00247341"/>
    <w:rsid w:val="003248C8"/>
    <w:rsid w:val="004E4E69"/>
    <w:rsid w:val="0073044C"/>
    <w:rsid w:val="009051CB"/>
    <w:rsid w:val="00997956"/>
    <w:rsid w:val="00D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44C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44C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44C"/>
    <w:rPr>
      <w:color w:val="0000FF"/>
      <w:u w:val="single"/>
    </w:rPr>
  </w:style>
  <w:style w:type="paragraph" w:customStyle="1" w:styleId="1406">
    <w:name w:val="1406"/>
    <w:basedOn w:val="a"/>
    <w:rsid w:val="007304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73044C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06">
    <w:name w:val="1206"/>
    <w:basedOn w:val="a"/>
    <w:rsid w:val="007304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73044C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44C"/>
  </w:style>
  <w:style w:type="paragraph" w:styleId="a6">
    <w:name w:val="footer"/>
    <w:basedOn w:val="a"/>
    <w:link w:val="a7"/>
    <w:uiPriority w:val="99"/>
    <w:unhideWhenUsed/>
    <w:rsid w:val="0073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44C"/>
  </w:style>
  <w:style w:type="character" w:styleId="a8">
    <w:name w:val="page number"/>
    <w:basedOn w:val="a0"/>
    <w:uiPriority w:val="99"/>
    <w:semiHidden/>
    <w:unhideWhenUsed/>
    <w:rsid w:val="0073044C"/>
  </w:style>
  <w:style w:type="paragraph" w:styleId="a9">
    <w:name w:val="Balloon Text"/>
    <w:basedOn w:val="a"/>
    <w:link w:val="aa"/>
    <w:uiPriority w:val="99"/>
    <w:semiHidden/>
    <w:unhideWhenUsed/>
    <w:rsid w:val="0024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44C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44C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44C"/>
    <w:rPr>
      <w:color w:val="0000FF"/>
      <w:u w:val="single"/>
    </w:rPr>
  </w:style>
  <w:style w:type="paragraph" w:customStyle="1" w:styleId="1406">
    <w:name w:val="1406"/>
    <w:basedOn w:val="a"/>
    <w:rsid w:val="007304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"/>
    <w:rsid w:val="0073044C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206">
    <w:name w:val="1206"/>
    <w:basedOn w:val="a"/>
    <w:rsid w:val="007304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260">
    <w:name w:val="1260"/>
    <w:basedOn w:val="a"/>
    <w:rsid w:val="0073044C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44C"/>
  </w:style>
  <w:style w:type="paragraph" w:styleId="a6">
    <w:name w:val="footer"/>
    <w:basedOn w:val="a"/>
    <w:link w:val="a7"/>
    <w:uiPriority w:val="99"/>
    <w:unhideWhenUsed/>
    <w:rsid w:val="0073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44C"/>
  </w:style>
  <w:style w:type="character" w:styleId="a8">
    <w:name w:val="page number"/>
    <w:basedOn w:val="a0"/>
    <w:uiPriority w:val="99"/>
    <w:semiHidden/>
    <w:unhideWhenUsed/>
    <w:rsid w:val="0073044C"/>
  </w:style>
  <w:style w:type="paragraph" w:styleId="a9">
    <w:name w:val="Balloon Text"/>
    <w:basedOn w:val="a"/>
    <w:link w:val="aa"/>
    <w:uiPriority w:val="99"/>
    <w:semiHidden/>
    <w:unhideWhenUsed/>
    <w:rsid w:val="0024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3012</Words>
  <Characters>17171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Распоряжение 1336-р Об утверждении плана мероприятий ("дорожной карты") "Совершенствование правового регулирования градостроительной деятельности и улучшение предпринимательского климата в сфере строительства"</vt:lpstr>
      <vt:lpstr>I. Общее описание "дорожной карты"</vt:lpstr>
      <vt:lpstr>II. План мероприятий</vt:lpstr>
    </vt:vector>
  </TitlesOfParts>
  <Company>Microsoft Corporation</Company>
  <LinksUpToDate>false</LinksUpToDate>
  <CharactersWithSpaces>20143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1336-р Об утверждении плана мероприятий ("дорожной карты") "Совершенствование правового регулирования градостроительной деятельности и улучшение предпринимательского климата в сфере строительства"</dc:title>
  <dc:creator>Филин Сергей Александрович</dc:creator>
  <cp:lastModifiedBy>ФИЛИН</cp:lastModifiedBy>
  <cp:revision>3</cp:revision>
  <dcterms:created xsi:type="dcterms:W3CDTF">2015-03-23T10:56:00Z</dcterms:created>
  <dcterms:modified xsi:type="dcterms:W3CDTF">2015-03-23T12:53:00Z</dcterms:modified>
</cp:coreProperties>
</file>