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E2" w:rsidRPr="00BC5FE2" w:rsidRDefault="00BC5FE2" w:rsidP="00BC5FE2">
      <w:pPr>
        <w:pStyle w:val="formattext"/>
        <w:spacing w:before="0" w:beforeAutospacing="0" w:after="0" w:afterAutospacing="0"/>
        <w:jc w:val="right"/>
        <w:textAlignment w:val="baseline"/>
      </w:pPr>
      <w:r w:rsidRPr="00BC5FE2">
        <w:br/>
      </w:r>
      <w:r w:rsidRPr="00BC5FE2">
        <w:br/>
        <w:t>ГОСТ Р 58812-2020</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jc w:val="center"/>
        <w:textAlignment w:val="baseline"/>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НАЦИОНАЛЬНЫЙ СТАНДАРТ РОССИЙСКОЙ ФЕДЕРАЦИИ</w:t>
      </w:r>
      <w:r w:rsidRPr="00BC5FE2">
        <w:rPr>
          <w:rFonts w:ascii="Times New Roman" w:eastAsia="Times New Roman" w:hAnsi="Times New Roman" w:cs="Times New Roman"/>
          <w:b/>
          <w:bCs/>
          <w:sz w:val="24"/>
          <w:szCs w:val="24"/>
          <w:lang w:eastAsia="ru-RU"/>
        </w:rPr>
        <w:br/>
      </w:r>
      <w:bookmarkStart w:id="0" w:name="_GoBack"/>
      <w:bookmarkEnd w:id="0"/>
    </w:p>
    <w:p w:rsidR="00BC5FE2" w:rsidRPr="00BC5FE2" w:rsidRDefault="00BC5FE2" w:rsidP="00BC5FE2">
      <w:pPr>
        <w:spacing w:after="240" w:line="240" w:lineRule="auto"/>
        <w:jc w:val="center"/>
        <w:textAlignment w:val="baseline"/>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ЦЕНТРЫ ОБРАБОТКИ ДАННЫХ</w:t>
      </w:r>
    </w:p>
    <w:p w:rsidR="00BC5FE2" w:rsidRPr="00BC5FE2" w:rsidRDefault="00BC5FE2" w:rsidP="00BC5FE2">
      <w:pPr>
        <w:spacing w:after="240" w:line="240" w:lineRule="auto"/>
        <w:jc w:val="center"/>
        <w:textAlignment w:val="baseline"/>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Инженерная инфраструктура. Операционная модель эксплуатации. Спецификация</w:t>
      </w:r>
    </w:p>
    <w:p w:rsidR="00BC5FE2" w:rsidRPr="00BC5FE2" w:rsidRDefault="00BC5FE2" w:rsidP="00BC5FE2">
      <w:pPr>
        <w:spacing w:after="240" w:line="240" w:lineRule="auto"/>
        <w:jc w:val="center"/>
        <w:textAlignment w:val="baseline"/>
        <w:rPr>
          <w:rFonts w:ascii="Times New Roman" w:eastAsia="Times New Roman" w:hAnsi="Times New Roman" w:cs="Times New Roman"/>
          <w:b/>
          <w:bCs/>
          <w:sz w:val="24"/>
          <w:szCs w:val="24"/>
          <w:lang w:eastAsia="ru-RU"/>
        </w:rPr>
      </w:pPr>
      <w:proofErr w:type="spellStart"/>
      <w:r w:rsidRPr="00BC5FE2">
        <w:rPr>
          <w:rFonts w:ascii="Times New Roman" w:eastAsia="Times New Roman" w:hAnsi="Times New Roman" w:cs="Times New Roman"/>
          <w:b/>
          <w:bCs/>
          <w:sz w:val="24"/>
          <w:szCs w:val="24"/>
          <w:lang w:eastAsia="ru-RU"/>
        </w:rPr>
        <w:t>Data</w:t>
      </w:r>
      <w:proofErr w:type="spellEnd"/>
      <w:r w:rsidRPr="00BC5FE2">
        <w:rPr>
          <w:rFonts w:ascii="Times New Roman" w:eastAsia="Times New Roman" w:hAnsi="Times New Roman" w:cs="Times New Roman"/>
          <w:b/>
          <w:bCs/>
          <w:sz w:val="24"/>
          <w:szCs w:val="24"/>
          <w:lang w:eastAsia="ru-RU"/>
        </w:rPr>
        <w:t xml:space="preserve"> </w:t>
      </w:r>
      <w:proofErr w:type="spellStart"/>
      <w:r w:rsidRPr="00BC5FE2">
        <w:rPr>
          <w:rFonts w:ascii="Times New Roman" w:eastAsia="Times New Roman" w:hAnsi="Times New Roman" w:cs="Times New Roman"/>
          <w:b/>
          <w:bCs/>
          <w:sz w:val="24"/>
          <w:szCs w:val="24"/>
          <w:lang w:eastAsia="ru-RU"/>
        </w:rPr>
        <w:t>centers</w:t>
      </w:r>
      <w:proofErr w:type="spellEnd"/>
      <w:r w:rsidRPr="00BC5FE2">
        <w:rPr>
          <w:rFonts w:ascii="Times New Roman" w:eastAsia="Times New Roman" w:hAnsi="Times New Roman" w:cs="Times New Roman"/>
          <w:b/>
          <w:bCs/>
          <w:sz w:val="24"/>
          <w:szCs w:val="24"/>
          <w:lang w:eastAsia="ru-RU"/>
        </w:rPr>
        <w:t xml:space="preserve">. </w:t>
      </w:r>
      <w:r w:rsidRPr="00BC5FE2">
        <w:rPr>
          <w:rFonts w:ascii="Times New Roman" w:eastAsia="Times New Roman" w:hAnsi="Times New Roman" w:cs="Times New Roman"/>
          <w:b/>
          <w:bCs/>
          <w:sz w:val="24"/>
          <w:szCs w:val="24"/>
          <w:lang w:val="en-US" w:eastAsia="ru-RU"/>
        </w:rPr>
        <w:t xml:space="preserve">Facilities. Operation model of exploitation. </w:t>
      </w:r>
      <w:proofErr w:type="spellStart"/>
      <w:r w:rsidRPr="00BC5FE2">
        <w:rPr>
          <w:rFonts w:ascii="Times New Roman" w:eastAsia="Times New Roman" w:hAnsi="Times New Roman" w:cs="Times New Roman"/>
          <w:b/>
          <w:bCs/>
          <w:sz w:val="24"/>
          <w:szCs w:val="24"/>
          <w:lang w:eastAsia="ru-RU"/>
        </w:rPr>
        <w:t>Specification</w:t>
      </w:r>
      <w:proofErr w:type="spellEnd"/>
    </w:p>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ОКС 01.040.35, 01.040.93</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jc w:val="right"/>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Дата введения 2020-08-01</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Предисловие</w:t>
      </w:r>
    </w:p>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РАЗРАБОТАН Некоммерческой организацией "Ассоциация участников отрасли центров обработки данных"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ВНЕСЕН Техническим комитетом по стандартизации ТК 120 "Центры обработки данных"</w:t>
      </w:r>
      <w:r w:rsidRPr="00BC5FE2">
        <w:rPr>
          <w:rFonts w:ascii="Times New Roman" w:eastAsia="Times New Roman" w:hAnsi="Times New Roman" w:cs="Times New Roman"/>
          <w:sz w:val="24"/>
          <w:szCs w:val="24"/>
          <w:lang w:eastAsia="ru-RU"/>
        </w:rPr>
        <w:br/>
      </w:r>
    </w:p>
    <w:p w:rsid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УТВЕРЖДЕН И ВВЕДЕН В ДЕЙСТВИЕ </w:t>
      </w:r>
      <w:hyperlink r:id="rId6" w:anchor="7D20K3" w:history="1">
        <w:r w:rsidRPr="00BC5FE2">
          <w:rPr>
            <w:rFonts w:ascii="Times New Roman" w:eastAsia="Times New Roman" w:hAnsi="Times New Roman" w:cs="Times New Roman"/>
            <w:color w:val="3451A0"/>
            <w:sz w:val="24"/>
            <w:szCs w:val="24"/>
            <w:u w:val="single"/>
            <w:lang w:eastAsia="ru-RU"/>
          </w:rPr>
          <w:t>Приказом</w:t>
        </w:r>
        <w:r w:rsidRPr="00BC5FE2">
          <w:rPr>
            <w:rFonts w:ascii="Times New Roman" w:eastAsia="Times New Roman" w:hAnsi="Times New Roman" w:cs="Times New Roman"/>
            <w:color w:val="3451A0"/>
            <w:sz w:val="24"/>
            <w:szCs w:val="24"/>
            <w:u w:val="single"/>
            <w:lang w:eastAsia="ru-RU"/>
          </w:rPr>
          <w:t xml:space="preserve"> </w:t>
        </w:r>
        <w:r w:rsidRPr="00BC5FE2">
          <w:rPr>
            <w:rFonts w:ascii="Times New Roman" w:eastAsia="Times New Roman" w:hAnsi="Times New Roman" w:cs="Times New Roman"/>
            <w:color w:val="3451A0"/>
            <w:sz w:val="24"/>
            <w:szCs w:val="24"/>
            <w:u w:val="single"/>
            <w:lang w:eastAsia="ru-RU"/>
          </w:rPr>
          <w:t>Федерального агентства по техническому регулированию и метрологии от 19 февраля 2020 г. N 68-ст</w:t>
        </w:r>
      </w:hyperlink>
    </w:p>
    <w:p w:rsid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Министерство промышленности и торговли Российской Федерации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ФЕДЕРАЛЬНОЕ АГЕНТСТВО ПО ТЕХНИЧЕС</w:t>
      </w:r>
      <w:r w:rsidRPr="00BC5FE2">
        <w:rPr>
          <w:rFonts w:ascii="Times New Roman" w:eastAsia="Times New Roman" w:hAnsi="Times New Roman" w:cs="Times New Roman"/>
          <w:i/>
          <w:sz w:val="18"/>
          <w:szCs w:val="18"/>
          <w:lang w:eastAsia="ru-RU"/>
        </w:rPr>
        <w:t>КОМУ РЕГУЛИРОВАНИЮ И МЕТРОЛОГИИ</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ПРИКАЗ</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от 19 февраля 2020 года N 68-ст</w:t>
      </w:r>
    </w:p>
    <w:p w:rsidR="00BC5FE2" w:rsidRPr="00BC5FE2" w:rsidRDefault="00BC5FE2" w:rsidP="00BC5FE2">
      <w:pPr>
        <w:spacing w:after="0" w:line="240" w:lineRule="auto"/>
        <w:textAlignment w:val="baseline"/>
        <w:rPr>
          <w:rFonts w:ascii="Times New Roman" w:eastAsia="Times New Roman" w:hAnsi="Times New Roman" w:cs="Times New Roman"/>
          <w:i/>
          <w:sz w:val="18"/>
          <w:szCs w:val="18"/>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Об утверждении национального стандарта Российской Федерации</w:t>
      </w:r>
    </w:p>
    <w:p w:rsidR="00BC5FE2" w:rsidRPr="00BC5FE2" w:rsidRDefault="00BC5FE2" w:rsidP="00BC5FE2">
      <w:pPr>
        <w:spacing w:after="0" w:line="240" w:lineRule="auto"/>
        <w:textAlignment w:val="baseline"/>
        <w:rPr>
          <w:rFonts w:ascii="Times New Roman" w:eastAsia="Times New Roman" w:hAnsi="Times New Roman" w:cs="Times New Roman"/>
          <w:i/>
          <w:sz w:val="18"/>
          <w:szCs w:val="18"/>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В соответствии со статьей 24 Федерального закона от 29 июня 2015 г. N 162-ФЗ "О стандар</w:t>
      </w:r>
      <w:r w:rsidRPr="00BC5FE2">
        <w:rPr>
          <w:rFonts w:ascii="Times New Roman" w:eastAsia="Times New Roman" w:hAnsi="Times New Roman" w:cs="Times New Roman"/>
          <w:i/>
          <w:sz w:val="18"/>
          <w:szCs w:val="18"/>
          <w:lang w:eastAsia="ru-RU"/>
        </w:rPr>
        <w:t>тизации в Российской Федерации"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приказываю:</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1. Утвердить национальный стандарт Российской Федерации ГОСТ Р 58812-2020 "Центры обработки данных. Инженерная инфраструктура. Операционная модель эксплуатации. Спецификация" с датой введения в действие 1 августа 2020 г.</w:t>
      </w:r>
    </w:p>
    <w:p w:rsidR="00BC5FE2" w:rsidRPr="00BC5FE2" w:rsidRDefault="00BC5FE2" w:rsidP="00BC5FE2">
      <w:pPr>
        <w:spacing w:after="0" w:line="240" w:lineRule="auto"/>
        <w:textAlignment w:val="baseline"/>
        <w:rPr>
          <w:rFonts w:ascii="Times New Roman" w:eastAsia="Times New Roman" w:hAnsi="Times New Roman" w:cs="Times New Roman"/>
          <w:i/>
          <w:sz w:val="18"/>
          <w:szCs w:val="18"/>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Введен впервые.</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2. Управлению технического регулирования и стандартизации (</w:t>
      </w:r>
      <w:proofErr w:type="spellStart"/>
      <w:r w:rsidRPr="00BC5FE2">
        <w:rPr>
          <w:rFonts w:ascii="Times New Roman" w:eastAsia="Times New Roman" w:hAnsi="Times New Roman" w:cs="Times New Roman"/>
          <w:i/>
          <w:sz w:val="18"/>
          <w:szCs w:val="18"/>
          <w:lang w:eastAsia="ru-RU"/>
        </w:rPr>
        <w:t>И.А.Киреева</w:t>
      </w:r>
      <w:proofErr w:type="spellEnd"/>
      <w:r w:rsidRPr="00BC5FE2">
        <w:rPr>
          <w:rFonts w:ascii="Times New Roman" w:eastAsia="Times New Roman" w:hAnsi="Times New Roman" w:cs="Times New Roman"/>
          <w:i/>
          <w:sz w:val="18"/>
          <w:szCs w:val="18"/>
          <w:lang w:eastAsia="ru-RU"/>
        </w:rPr>
        <w:t xml:space="preserve">) обеспечить размещение информации об утвержденном настоящим приказом стандарте на официальном сайте </w:t>
      </w:r>
      <w:proofErr w:type="spellStart"/>
      <w:r w:rsidRPr="00BC5FE2">
        <w:rPr>
          <w:rFonts w:ascii="Times New Roman" w:eastAsia="Times New Roman" w:hAnsi="Times New Roman" w:cs="Times New Roman"/>
          <w:i/>
          <w:sz w:val="18"/>
          <w:szCs w:val="18"/>
          <w:lang w:eastAsia="ru-RU"/>
        </w:rPr>
        <w:t>Росстандарта</w:t>
      </w:r>
      <w:proofErr w:type="spellEnd"/>
      <w:r w:rsidRPr="00BC5FE2">
        <w:rPr>
          <w:rFonts w:ascii="Times New Roman" w:eastAsia="Times New Roman" w:hAnsi="Times New Roman" w:cs="Times New Roman"/>
          <w:i/>
          <w:sz w:val="18"/>
          <w:szCs w:val="18"/>
          <w:lang w:eastAsia="ru-RU"/>
        </w:rPr>
        <w:t xml:space="preserve"> в информационно-телекоммуникационной сети "Интернет" (далее - официальный сайт) с учетом зак</w:t>
      </w:r>
      <w:r w:rsidRPr="00BC5FE2">
        <w:rPr>
          <w:rFonts w:ascii="Times New Roman" w:eastAsia="Times New Roman" w:hAnsi="Times New Roman" w:cs="Times New Roman"/>
          <w:i/>
          <w:sz w:val="18"/>
          <w:szCs w:val="18"/>
          <w:lang w:eastAsia="ru-RU"/>
        </w:rPr>
        <w:t>онодательства о стандартизации.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3. Федеральному государственному унитарному предприятию "Российский научно-технический центр информации по стандартизации, метрологии и оценке соответствия" (</w:t>
      </w:r>
      <w:proofErr w:type="spellStart"/>
      <w:r w:rsidRPr="00BC5FE2">
        <w:rPr>
          <w:rFonts w:ascii="Times New Roman" w:eastAsia="Times New Roman" w:hAnsi="Times New Roman" w:cs="Times New Roman"/>
          <w:i/>
          <w:sz w:val="18"/>
          <w:szCs w:val="18"/>
          <w:lang w:eastAsia="ru-RU"/>
        </w:rPr>
        <w:t>А.Н.Михеев</w:t>
      </w:r>
      <w:proofErr w:type="spellEnd"/>
      <w:r w:rsidRPr="00BC5FE2">
        <w:rPr>
          <w:rFonts w:ascii="Times New Roman" w:eastAsia="Times New Roman" w:hAnsi="Times New Roman" w:cs="Times New Roman"/>
          <w:i/>
          <w:sz w:val="18"/>
          <w:szCs w:val="18"/>
          <w:lang w:eastAsia="ru-RU"/>
        </w:rPr>
        <w:t>) разместить настоящий приказ и утвержденный им стандарт на официальном сайте в установл</w:t>
      </w:r>
      <w:r w:rsidRPr="00BC5FE2">
        <w:rPr>
          <w:rFonts w:ascii="Times New Roman" w:eastAsia="Times New Roman" w:hAnsi="Times New Roman" w:cs="Times New Roman"/>
          <w:i/>
          <w:sz w:val="18"/>
          <w:szCs w:val="18"/>
          <w:lang w:eastAsia="ru-RU"/>
        </w:rPr>
        <w:t>енном порядке.</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4. Закрепить утвержденный настоящим приказом стандарт за Управлением технического регулирования и стандартизации.</w:t>
      </w:r>
    </w:p>
    <w:p w:rsidR="00BC5FE2" w:rsidRPr="00BC5FE2" w:rsidRDefault="00BC5FE2" w:rsidP="00BC5FE2">
      <w:pPr>
        <w:spacing w:after="0" w:line="240" w:lineRule="auto"/>
        <w:textAlignment w:val="baseline"/>
        <w:rPr>
          <w:rFonts w:ascii="Times New Roman" w:eastAsia="Times New Roman" w:hAnsi="Times New Roman" w:cs="Times New Roman"/>
          <w:i/>
          <w:sz w:val="18"/>
          <w:szCs w:val="18"/>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r w:rsidRPr="00BC5FE2">
        <w:rPr>
          <w:rFonts w:ascii="Times New Roman" w:eastAsia="Times New Roman" w:hAnsi="Times New Roman" w:cs="Times New Roman"/>
          <w:i/>
          <w:sz w:val="18"/>
          <w:szCs w:val="18"/>
          <w:lang w:eastAsia="ru-RU"/>
        </w:rPr>
        <w:t>Заместитель Руководителя</w:t>
      </w:r>
    </w:p>
    <w:p w:rsidR="00BC5FE2" w:rsidRPr="00BC5FE2" w:rsidRDefault="00BC5FE2" w:rsidP="00BC5FE2">
      <w:pPr>
        <w:spacing w:after="0" w:line="240" w:lineRule="auto"/>
        <w:ind w:firstLine="480"/>
        <w:textAlignment w:val="baseline"/>
        <w:rPr>
          <w:rFonts w:ascii="Times New Roman" w:eastAsia="Times New Roman" w:hAnsi="Times New Roman" w:cs="Times New Roman"/>
          <w:i/>
          <w:sz w:val="18"/>
          <w:szCs w:val="18"/>
          <w:lang w:eastAsia="ru-RU"/>
        </w:rPr>
      </w:pPr>
      <w:proofErr w:type="spellStart"/>
      <w:r w:rsidRPr="00BC5FE2">
        <w:rPr>
          <w:rFonts w:ascii="Times New Roman" w:eastAsia="Times New Roman" w:hAnsi="Times New Roman" w:cs="Times New Roman"/>
          <w:i/>
          <w:sz w:val="18"/>
          <w:szCs w:val="18"/>
          <w:lang w:eastAsia="ru-RU"/>
        </w:rPr>
        <w:t>А.П.Шалаев</w:t>
      </w:r>
      <w:proofErr w:type="spellEnd"/>
    </w:p>
    <w:p w:rsid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4 ВВЕДЕН ВПЕРВЫЕ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Правила применения настоящего стандарта установлены в </w:t>
      </w:r>
      <w:hyperlink r:id="rId7" w:anchor="8Q40M1" w:history="1">
        <w:r w:rsidRPr="00BC5FE2">
          <w:rPr>
            <w:rFonts w:ascii="Times New Roman" w:eastAsia="Times New Roman" w:hAnsi="Times New Roman" w:cs="Times New Roman"/>
            <w:color w:val="3451A0"/>
            <w:sz w:val="24"/>
            <w:szCs w:val="24"/>
            <w:u w:val="single"/>
            <w:lang w:eastAsia="ru-RU"/>
          </w:rPr>
          <w:t>статье 26 Федерального закона от 29 июня 2015 г. N 162-ФЗ "О стандартизации в Российской Федерации"</w:t>
        </w:r>
      </w:hyperlink>
      <w:r w:rsidRPr="00BC5FE2">
        <w:rPr>
          <w:rFonts w:ascii="Times New Roman" w:eastAsia="Times New Roman" w:hAnsi="Times New Roman" w:cs="Times New Roman"/>
          <w:sz w:val="24"/>
          <w:szCs w:val="24"/>
          <w:lang w:eastAsia="ru-RU"/>
        </w:rPr>
        <w:t>.</w:t>
      </w:r>
      <w:r w:rsidRPr="00BC5FE2">
        <w:rPr>
          <w:rFonts w:ascii="Times New Roman" w:eastAsia="Times New Roman" w:hAnsi="Times New Roman" w:cs="Times New Roman"/>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Введение</w:t>
      </w:r>
    </w:p>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призван способствовать формированию и принятию единого, процессно-ориентированного подхода к организации эксплуатации инженерной инфраструктуры центра обработки данных (ИИ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обеспечения качественного функционирования инженерных систем ЦОД необходимо добиваться исполнения набора мероприятий в различных, но при этом взаимодействующих процессных областях.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Наличие координации и однозначного понимания сути, целей, ожидаемых результатов и ключевых элементов различных процессов позволит не только обеспечить заданный уровень функционирования инженерной инфраструктуры ЦОД, но и сформировать механизмы для постоянного повышения качества эксплуатации, совершенствования эксплуатационных процессов и процедур.</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Важнейшими компонентами для успешного функционирования модели являются ресурсы, требования к обеспечению которыми тоже приведены в стандарте.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стандарте рассматриваются только значимые для эксплуатации, имеющие к ней непосредственное отношение элементы. Прочие процессы организации деятельности компаний ввиду их общего характера в настоящем стандарте не рассматриваются.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1 Область применения</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определяет требования к организации, осуществляющей эксплуатацию инженерных систем ЦОД с целью обеспечения надлежащего качества их функционирования и предоставления потребителям услуг ИИ ЦОД приемлемого качества.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может применяться как самостоятельно, так и совместно со стандартами серии </w:t>
      </w:r>
      <w:hyperlink r:id="rId8" w:anchor="7D20K3" w:history="1">
        <w:r w:rsidRPr="00BC5FE2">
          <w:rPr>
            <w:rFonts w:ascii="Times New Roman" w:eastAsia="Times New Roman" w:hAnsi="Times New Roman" w:cs="Times New Roman"/>
            <w:color w:val="3451A0"/>
            <w:sz w:val="24"/>
            <w:szCs w:val="24"/>
            <w:u w:val="single"/>
            <w:lang w:eastAsia="ru-RU"/>
          </w:rPr>
          <w:t>ГОСТ Р ИСО/МЭК 20000</w:t>
        </w:r>
      </w:hyperlink>
      <w:r w:rsidRPr="00BC5FE2">
        <w:rPr>
          <w:rFonts w:ascii="Times New Roman" w:eastAsia="Times New Roman" w:hAnsi="Times New Roman" w:cs="Times New Roman"/>
          <w:sz w:val="24"/>
          <w:szCs w:val="24"/>
          <w:lang w:eastAsia="ru-RU"/>
        </w:rPr>
        <w:t>, </w:t>
      </w:r>
      <w:hyperlink r:id="rId9" w:anchor="7D20K3" w:history="1">
        <w:r w:rsidRPr="00BC5FE2">
          <w:rPr>
            <w:rFonts w:ascii="Times New Roman" w:eastAsia="Times New Roman" w:hAnsi="Times New Roman" w:cs="Times New Roman"/>
            <w:color w:val="3451A0"/>
            <w:sz w:val="24"/>
            <w:szCs w:val="24"/>
            <w:u w:val="single"/>
            <w:lang w:eastAsia="ru-RU"/>
          </w:rPr>
          <w:t>ГОСТ 18322</w:t>
        </w:r>
      </w:hyperlink>
      <w:r w:rsidRPr="00BC5FE2">
        <w:rPr>
          <w:rFonts w:ascii="Times New Roman" w:eastAsia="Times New Roman" w:hAnsi="Times New Roman" w:cs="Times New Roman"/>
          <w:sz w:val="24"/>
          <w:szCs w:val="24"/>
          <w:lang w:eastAsia="ru-RU"/>
        </w:rPr>
        <w:t xml:space="preserve"> для организации эксплуатации ЦОД в целом, включая помимо рассматриваемой в рамках данного стандарта эксплуатации инженерной инфраструктуры ЦОД еще и эксплуатацию ИТ-инфраструктуры, а также прикладных </w:t>
      </w:r>
      <w:r w:rsidRPr="00BC5FE2">
        <w:rPr>
          <w:rFonts w:ascii="Times New Roman" w:eastAsia="Times New Roman" w:hAnsi="Times New Roman" w:cs="Times New Roman"/>
          <w:sz w:val="24"/>
          <w:szCs w:val="24"/>
          <w:lang w:eastAsia="ru-RU"/>
        </w:rPr>
        <w:lastRenderedPageBreak/>
        <w:t>информационных систем.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может использоваться: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а) организациями, деятельность которых связана с предоставлением услуг по эксплуатации центров обработки данных;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б) организациями, пользующимися услугами центров обработки данных (как в части услуг инженерной инфраструктуры, так и в целом услуг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подразделениями организаций, несущими ответственность за эксплуатацию собственных центров обработки данных;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г) в качестве основы для проведения независимой оценки и аттестации услуг и качества функционирования 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 организациями, которым необходимо продемонстрировать способность предоставлять услуги ЦОД, удовлетворяющие требованиям заказчика;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е) организациями, стремящимися к улучшению качества функционирования ИИ ЦОД посредством эффективного построения и применения процессов эксплуатации;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ж) организациями, являющимися поставщиками услуг и/или продукции, используемых при эксплуатации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определяет ряд тесно связанных процессов эксплуатации инженерной инфраструктуры ЦОД, показанных на рисунке 1.</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Отношения между рассматриваемыми процессами зависят от конкретно используемого подхода к организации эксплуатации в целом, порядка их применения в пределах службы эксплуатации и компании. Ввиду множества различных вариантов реализации таких отношений и взаимосвязей их однозначное отражение в виде рисунка или документа не представляется возможным.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Настоящий стандарт основан на процессном подходе и не предназначен для аттестации продуктов. При этом разработчики различного инструментария (продуктов и услуг), предназначенного для использования в ходе организации и ведения процессов эксплуатации инженерной инфраструктуры ЦОД, могут применять настоящий стандарт в целях обеспечения соответствия разрабатываемого инструментария требованиям организации эксплуатации и лучшим практикам.</w:t>
      </w:r>
      <w:r w:rsidRPr="00BC5FE2">
        <w:rPr>
          <w:rFonts w:ascii="Times New Roman" w:eastAsia="Times New Roman" w:hAnsi="Times New Roman" w:cs="Times New Roman"/>
          <w:sz w:val="24"/>
          <w:szCs w:val="24"/>
          <w:lang w:eastAsia="ru-RU"/>
        </w:rPr>
        <w:br/>
      </w:r>
    </w:p>
    <w:tbl>
      <w:tblPr>
        <w:tblW w:w="0" w:type="auto"/>
        <w:jc w:val="center"/>
        <w:tblCellMar>
          <w:left w:w="0" w:type="dxa"/>
          <w:right w:w="0" w:type="dxa"/>
        </w:tblCellMar>
        <w:tblLook w:val="04A0" w:firstRow="1" w:lastRow="0" w:firstColumn="1" w:lastColumn="0" w:noHBand="0" w:noVBand="1"/>
      </w:tblPr>
      <w:tblGrid>
        <w:gridCol w:w="10205"/>
      </w:tblGrid>
      <w:tr w:rsidR="00BC5FE2" w:rsidRPr="00BC5FE2" w:rsidTr="00BC5FE2">
        <w:trPr>
          <w:trHeight w:val="15"/>
          <w:jc w:val="center"/>
        </w:trPr>
        <w:tc>
          <w:tcPr>
            <w:tcW w:w="13121" w:type="dxa"/>
            <w:tcBorders>
              <w:top w:val="nil"/>
              <w:left w:val="nil"/>
              <w:bottom w:val="nil"/>
              <w:right w:val="nil"/>
            </w:tcBorders>
            <w:shd w:val="clear" w:color="auto" w:fill="auto"/>
            <w:hideMark/>
          </w:tcPr>
          <w:p w:rsidR="00BC5FE2" w:rsidRPr="00BC5FE2" w:rsidRDefault="00BC5FE2" w:rsidP="00BC5FE2">
            <w:pPr>
              <w:spacing w:after="0" w:line="240" w:lineRule="auto"/>
              <w:rPr>
                <w:rFonts w:ascii="Times New Roman" w:eastAsia="Times New Roman" w:hAnsi="Times New Roman" w:cs="Times New Roman"/>
                <w:sz w:val="24"/>
                <w:szCs w:val="24"/>
                <w:lang w:eastAsia="ru-RU"/>
              </w:rPr>
            </w:pPr>
          </w:p>
        </w:tc>
      </w:tr>
      <w:tr w:rsidR="00BC5FE2" w:rsidRPr="00BC5FE2" w:rsidTr="00BC5FE2">
        <w:trPr>
          <w:jc w:val="center"/>
        </w:trPr>
        <w:tc>
          <w:tcPr>
            <w:tcW w:w="13121" w:type="dxa"/>
            <w:tcBorders>
              <w:top w:val="nil"/>
              <w:left w:val="nil"/>
              <w:bottom w:val="nil"/>
              <w:right w:val="nil"/>
            </w:tcBorders>
            <w:shd w:val="clear" w:color="auto" w:fill="auto"/>
            <w:tcMar>
              <w:top w:w="0" w:type="dxa"/>
              <w:left w:w="55" w:type="dxa"/>
              <w:bottom w:w="0" w:type="dxa"/>
              <w:right w:w="55" w:type="dxa"/>
            </w:tcMar>
            <w:hideMark/>
          </w:tcPr>
          <w:p w:rsidR="00BC5FE2" w:rsidRPr="00BC5FE2" w:rsidRDefault="00BC5FE2" w:rsidP="00BC5FE2">
            <w:pPr>
              <w:spacing w:after="240" w:line="240" w:lineRule="auto"/>
              <w:jc w:val="center"/>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noProof/>
                <w:sz w:val="24"/>
                <w:szCs w:val="24"/>
                <w:lang w:eastAsia="ru-RU"/>
              </w:rPr>
              <w:lastRenderedPageBreak/>
              <w:drawing>
                <wp:inline distT="0" distB="0" distL="0" distR="0" wp14:anchorId="5A1CD30E" wp14:editId="5983CC2E">
                  <wp:extent cx="6292800" cy="8383837"/>
                  <wp:effectExtent l="0" t="0" r="0" b="0"/>
                  <wp:docPr id="2" name="Рисунок 2" descr="https://api.docs.cntd.ru/img/12/00/17/13/32/5ecfa52b-4440-4ec7-9a5c-2bf127e85748/P0038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17/13/32/5ecfa52b-4440-4ec7-9a5c-2bf127e85748/P0038000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699" cy="8386367"/>
                          </a:xfrm>
                          <a:prstGeom prst="rect">
                            <a:avLst/>
                          </a:prstGeom>
                          <a:noFill/>
                          <a:ln>
                            <a:noFill/>
                          </a:ln>
                        </pic:spPr>
                      </pic:pic>
                    </a:graphicData>
                  </a:graphic>
                </wp:inline>
              </w:drawing>
            </w:r>
          </w:p>
        </w:tc>
      </w:tr>
    </w:tbl>
    <w:p w:rsidR="00BC5FE2" w:rsidRPr="00BC5FE2" w:rsidRDefault="00BC5FE2" w:rsidP="00BC5FE2">
      <w:pPr>
        <w:spacing w:after="0" w:line="240" w:lineRule="auto"/>
        <w:jc w:val="center"/>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Рисунок 1 - Процессы операционной модели эксплуатации инженерной инфраструктуры ЦОД</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i/>
          <w:iCs/>
          <w:sz w:val="24"/>
          <w:szCs w:val="24"/>
          <w:bdr w:val="none" w:sz="0" w:space="0" w:color="auto" w:frame="1"/>
          <w:lang w:eastAsia="ru-RU"/>
        </w:rPr>
        <w:lastRenderedPageBreak/>
        <w:t>Ограничения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В рамках стандарта рассматриваются вопросы эксплуатации инженерной инфраструктуры ЦОД, составляющих ее систем и оборудования.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Применение рекомендаций стандарта для иных составляющих ЦОД систем не оценивалось авторами стандарта.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Необходимость исполнения требований стандарта, включая глубину, полноту соответствия и форму реализации, зависит в том числе от целевого значения качества функционирования ЦОД, выбранного владельцами и менеджерами.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Требования стандарта к вспомогательным (не профильным) процессам являются необходимыми, но не достаточными для обеспечения реализации всего круга задач, возникающих при эксплуатации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В общем случае они должны рассматриваться в качестве дополнений к иным стандартам и нормативам, определяемым профилем соответствующего направления, характером бизнеса организации - владельца ЦОД, ее целями и задачами.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Это касается, например, процессов финансового управления, бухгалтерского учета, материально-технического снабжения и т.д.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i/>
          <w:iCs/>
          <w:sz w:val="24"/>
          <w:szCs w:val="24"/>
          <w:bdr w:val="none" w:sz="0" w:space="0" w:color="auto" w:frame="1"/>
          <w:lang w:eastAsia="ru-RU"/>
        </w:rPr>
        <w:t>В меньшей мере это справедливо и по отношению к ряду профильных процессов (например, управление договорами), которые, будучи в целом общекорпоративными и выходящими за рамки эксплуатации ЦОД, в отношении задач эксплуатации имеют собственную специфику и особенности, при этом являясь значимыми именно с точки зрения функционирования ЦОД (например, для коммерческих ЦОД управление договорами является одной из основ бизнеса).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2 Нормативные ссылки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настоящем стандарте использованы нормативные ссылки на следующие стандарты: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hyperlink r:id="rId11" w:anchor="7D20K3" w:history="1">
        <w:r w:rsidRPr="00BC5FE2">
          <w:rPr>
            <w:rFonts w:ascii="Times New Roman" w:eastAsia="Times New Roman" w:hAnsi="Times New Roman" w:cs="Times New Roman"/>
            <w:color w:val="3451A0"/>
            <w:sz w:val="24"/>
            <w:szCs w:val="24"/>
            <w:u w:val="single"/>
            <w:lang w:eastAsia="ru-RU"/>
          </w:rPr>
          <w:t>ГОСТ Р ИСО/МЭК 20000-1</w:t>
        </w:r>
      </w:hyperlink>
      <w:r w:rsidRPr="00BC5FE2">
        <w:rPr>
          <w:rFonts w:ascii="Times New Roman" w:eastAsia="Times New Roman" w:hAnsi="Times New Roman" w:cs="Times New Roman"/>
          <w:sz w:val="24"/>
          <w:szCs w:val="24"/>
          <w:lang w:eastAsia="ru-RU"/>
        </w:rPr>
        <w:t> Информационная технология. Управление услугами, Часть 1. Требования к системе управления услугами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hyperlink r:id="rId12" w:anchor="7D20K3" w:history="1">
        <w:r w:rsidRPr="00BC5FE2">
          <w:rPr>
            <w:rFonts w:ascii="Times New Roman" w:eastAsia="Times New Roman" w:hAnsi="Times New Roman" w:cs="Times New Roman"/>
            <w:color w:val="3451A0"/>
            <w:sz w:val="24"/>
            <w:szCs w:val="24"/>
            <w:u w:val="single"/>
            <w:lang w:eastAsia="ru-RU"/>
          </w:rPr>
          <w:t>ГОСТ 18322</w:t>
        </w:r>
      </w:hyperlink>
      <w:r w:rsidRPr="00BC5FE2">
        <w:rPr>
          <w:rFonts w:ascii="Times New Roman" w:eastAsia="Times New Roman" w:hAnsi="Times New Roman" w:cs="Times New Roman"/>
          <w:sz w:val="24"/>
          <w:szCs w:val="24"/>
          <w:lang w:eastAsia="ru-RU"/>
        </w:rPr>
        <w:t> Система технического обслуживания и ремонта техники. Термины и определения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hyperlink r:id="rId13" w:anchor="7D20K3" w:history="1">
        <w:r w:rsidRPr="00BC5FE2">
          <w:rPr>
            <w:rFonts w:ascii="Times New Roman" w:eastAsia="Times New Roman" w:hAnsi="Times New Roman" w:cs="Times New Roman"/>
            <w:color w:val="3451A0"/>
            <w:sz w:val="24"/>
            <w:szCs w:val="24"/>
            <w:u w:val="single"/>
            <w:lang w:eastAsia="ru-RU"/>
          </w:rPr>
          <w:t>ГОСТ Р ИСО/МЭК 27001</w:t>
        </w:r>
      </w:hyperlink>
      <w:r w:rsidRPr="00BC5FE2">
        <w:rPr>
          <w:rFonts w:ascii="Times New Roman" w:eastAsia="Times New Roman" w:hAnsi="Times New Roman" w:cs="Times New Roman"/>
          <w:sz w:val="24"/>
          <w:szCs w:val="24"/>
          <w:lang w:eastAsia="ru-RU"/>
        </w:rPr>
        <w:t>. Информационная технология. Методы и средства обеспечения безопасности. Системы менеджмента информационной безопасности. Требования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hyperlink r:id="rId14" w:anchor="7D20K3" w:history="1">
        <w:r w:rsidRPr="00BC5FE2">
          <w:rPr>
            <w:rFonts w:ascii="Times New Roman" w:eastAsia="Times New Roman" w:hAnsi="Times New Roman" w:cs="Times New Roman"/>
            <w:color w:val="3451A0"/>
            <w:sz w:val="24"/>
            <w:szCs w:val="24"/>
            <w:u w:val="single"/>
            <w:lang w:eastAsia="ru-RU"/>
          </w:rPr>
          <w:t>ГОСТ 12.0.230</w:t>
        </w:r>
      </w:hyperlink>
      <w:r w:rsidRPr="00BC5FE2">
        <w:rPr>
          <w:rFonts w:ascii="Times New Roman" w:eastAsia="Times New Roman" w:hAnsi="Times New Roman" w:cs="Times New Roman"/>
          <w:sz w:val="24"/>
          <w:szCs w:val="24"/>
          <w:lang w:eastAsia="ru-RU"/>
        </w:rPr>
        <w:t> Система стандартов безопасности труда. Системы управления охраной труда. Общие требования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w:t>
      </w:r>
      <w:r w:rsidRPr="00BC5FE2">
        <w:rPr>
          <w:rFonts w:ascii="Times New Roman" w:eastAsia="Times New Roman" w:hAnsi="Times New Roman" w:cs="Times New Roman"/>
          <w:sz w:val="24"/>
          <w:szCs w:val="24"/>
          <w:lang w:eastAsia="ru-RU"/>
        </w:rPr>
        <w:lastRenderedPageBreak/>
        <w:t>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ссылку.</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3 Термины, определения, сокращения</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 В настоящем стандарте применены термины по </w:t>
      </w:r>
      <w:hyperlink r:id="rId15" w:anchor="7D20K3" w:history="1">
        <w:r w:rsidRPr="00BC5FE2">
          <w:rPr>
            <w:rFonts w:ascii="Times New Roman" w:eastAsia="Times New Roman" w:hAnsi="Times New Roman" w:cs="Times New Roman"/>
            <w:color w:val="3451A0"/>
            <w:sz w:val="24"/>
            <w:szCs w:val="24"/>
            <w:u w:val="single"/>
            <w:lang w:eastAsia="ru-RU"/>
          </w:rPr>
          <w:t>ГОСТ Р ИСО/МЭК 20000-1</w:t>
        </w:r>
      </w:hyperlink>
      <w:r w:rsidRPr="00BC5FE2">
        <w:rPr>
          <w:rFonts w:ascii="Times New Roman" w:eastAsia="Times New Roman" w:hAnsi="Times New Roman" w:cs="Times New Roman"/>
          <w:sz w:val="24"/>
          <w:szCs w:val="24"/>
          <w:lang w:eastAsia="ru-RU"/>
        </w:rPr>
        <w:t>, </w:t>
      </w:r>
      <w:hyperlink r:id="rId16" w:anchor="7D20K3" w:history="1">
        <w:r w:rsidRPr="00BC5FE2">
          <w:rPr>
            <w:rFonts w:ascii="Times New Roman" w:eastAsia="Times New Roman" w:hAnsi="Times New Roman" w:cs="Times New Roman"/>
            <w:color w:val="3451A0"/>
            <w:sz w:val="24"/>
            <w:szCs w:val="24"/>
            <w:u w:val="single"/>
            <w:lang w:eastAsia="ru-RU"/>
          </w:rPr>
          <w:t>ГОСТ 18322</w:t>
        </w:r>
      </w:hyperlink>
      <w:r w:rsidRPr="00BC5FE2">
        <w:rPr>
          <w:rFonts w:ascii="Times New Roman" w:eastAsia="Times New Roman" w:hAnsi="Times New Roman" w:cs="Times New Roman"/>
          <w:sz w:val="24"/>
          <w:szCs w:val="24"/>
          <w:lang w:eastAsia="ru-RU"/>
        </w:rPr>
        <w:t>, а также следующие термины с соответствующими определениями: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3.1.1 </w:t>
      </w:r>
      <w:r w:rsidRPr="00BC5FE2">
        <w:rPr>
          <w:rFonts w:ascii="Times New Roman" w:eastAsia="Times New Roman" w:hAnsi="Times New Roman" w:cs="Times New Roman"/>
          <w:b/>
          <w:bCs/>
          <w:sz w:val="24"/>
          <w:szCs w:val="24"/>
          <w:bdr w:val="none" w:sz="0" w:space="0" w:color="auto" w:frame="1"/>
          <w:lang w:eastAsia="ru-RU"/>
        </w:rPr>
        <w:t>центр обработки данных:</w:t>
      </w:r>
      <w:r w:rsidRPr="00BC5FE2">
        <w:rPr>
          <w:rFonts w:ascii="Times New Roman" w:eastAsia="Times New Roman" w:hAnsi="Times New Roman" w:cs="Times New Roman"/>
          <w:sz w:val="24"/>
          <w:szCs w:val="24"/>
          <w:lang w:eastAsia="ru-RU"/>
        </w:rPr>
        <w:t> Специализированный объект, представляющий собой связанную систему ИТ-инфраструктуры и инженерной инфраструктуры, оборудование и части которых размещены в здании или помещении, подключенном к внешним сетям, как инженерным, так и телекоммуникационным.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Примечание - При необходимости здание ЦОД может иметь прилегающую территорию.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3.1.2 </w:t>
      </w:r>
      <w:r w:rsidRPr="00BC5FE2">
        <w:rPr>
          <w:rFonts w:ascii="Times New Roman" w:eastAsia="Times New Roman" w:hAnsi="Times New Roman" w:cs="Times New Roman"/>
          <w:b/>
          <w:bCs/>
          <w:sz w:val="24"/>
          <w:szCs w:val="24"/>
          <w:bdr w:val="none" w:sz="0" w:space="0" w:color="auto" w:frame="1"/>
          <w:lang w:eastAsia="ru-RU"/>
        </w:rPr>
        <w:t>инженерная инфраструктура центра обработки данных:</w:t>
      </w:r>
      <w:r w:rsidRPr="00BC5FE2">
        <w:rPr>
          <w:rFonts w:ascii="Times New Roman" w:eastAsia="Times New Roman" w:hAnsi="Times New Roman" w:cs="Times New Roman"/>
          <w:sz w:val="24"/>
          <w:szCs w:val="24"/>
          <w:lang w:eastAsia="ru-RU"/>
        </w:rPr>
        <w:t> Комплекс систем и их оборудования, обеспечивающих бесперебойное функционирование систем и оборудования ИТ-инфраструктуры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3.1.3 </w:t>
      </w:r>
      <w:r w:rsidRPr="00BC5FE2">
        <w:rPr>
          <w:rFonts w:ascii="Times New Roman" w:eastAsia="Times New Roman" w:hAnsi="Times New Roman" w:cs="Times New Roman"/>
          <w:b/>
          <w:bCs/>
          <w:sz w:val="24"/>
          <w:szCs w:val="24"/>
          <w:bdr w:val="none" w:sz="0" w:space="0" w:color="auto" w:frame="1"/>
          <w:lang w:eastAsia="ru-RU"/>
        </w:rPr>
        <w:t>служба эксплуатации центра обработки данных:</w:t>
      </w:r>
      <w:r w:rsidRPr="00BC5FE2">
        <w:rPr>
          <w:rFonts w:ascii="Times New Roman" w:eastAsia="Times New Roman" w:hAnsi="Times New Roman" w:cs="Times New Roman"/>
          <w:sz w:val="24"/>
          <w:szCs w:val="24"/>
          <w:lang w:eastAsia="ru-RU"/>
        </w:rPr>
        <w:t> Организация или ее подразделение, в обязанности которым вменяется проведение работ по эксплуатации систем и оборудования центра обработки данных.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3.1.4 </w:t>
      </w:r>
      <w:r w:rsidRPr="00BC5FE2">
        <w:rPr>
          <w:rFonts w:ascii="Times New Roman" w:eastAsia="Times New Roman" w:hAnsi="Times New Roman" w:cs="Times New Roman"/>
          <w:b/>
          <w:bCs/>
          <w:sz w:val="24"/>
          <w:szCs w:val="24"/>
          <w:bdr w:val="none" w:sz="0" w:space="0" w:color="auto" w:frame="1"/>
          <w:lang w:eastAsia="ru-RU"/>
        </w:rPr>
        <w:t>подразделение эксплуатации инженерной инфраструктуры центра обработки данных:</w:t>
      </w:r>
      <w:r w:rsidRPr="00BC5FE2">
        <w:rPr>
          <w:rFonts w:ascii="Times New Roman" w:eastAsia="Times New Roman" w:hAnsi="Times New Roman" w:cs="Times New Roman"/>
          <w:sz w:val="24"/>
          <w:szCs w:val="24"/>
          <w:lang w:eastAsia="ru-RU"/>
        </w:rPr>
        <w:t> Структурное подразделение службы эксплуатации ЦОД, в обязанность которому вменяется проведение работ по эксплуатации систем и оборудования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3.1.5 </w:t>
      </w:r>
      <w:r w:rsidRPr="00BC5FE2">
        <w:rPr>
          <w:rFonts w:ascii="Times New Roman" w:eastAsia="Times New Roman" w:hAnsi="Times New Roman" w:cs="Times New Roman"/>
          <w:b/>
          <w:bCs/>
          <w:sz w:val="24"/>
          <w:szCs w:val="24"/>
          <w:bdr w:val="none" w:sz="0" w:space="0" w:color="auto" w:frame="1"/>
          <w:lang w:eastAsia="ru-RU"/>
        </w:rPr>
        <w:t>модернизация инженерной инфраструктуры ЦОД: </w:t>
      </w:r>
      <w:r w:rsidRPr="00BC5FE2">
        <w:rPr>
          <w:rFonts w:ascii="Times New Roman" w:eastAsia="Times New Roman" w:hAnsi="Times New Roman" w:cs="Times New Roman"/>
          <w:sz w:val="24"/>
          <w:szCs w:val="24"/>
          <w:lang w:eastAsia="ru-RU"/>
        </w:rPr>
        <w:t>Замена оборудования, относящегося к инженерной инфраструктуре ЦОД, или отдельных его комплектующих с целью изменения совокупных характеристик оборудования, систем и объекта в целом для обеспечения его соответствия установленным целевым значениям.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3.1.6 </w:t>
      </w:r>
      <w:r w:rsidRPr="00BC5FE2">
        <w:rPr>
          <w:rFonts w:ascii="Times New Roman" w:eastAsia="Times New Roman" w:hAnsi="Times New Roman" w:cs="Times New Roman"/>
          <w:b/>
          <w:bCs/>
          <w:sz w:val="24"/>
          <w:szCs w:val="24"/>
          <w:bdr w:val="none" w:sz="0" w:space="0" w:color="auto" w:frame="1"/>
          <w:lang w:eastAsia="ru-RU"/>
        </w:rPr>
        <w:t>запрос:</w:t>
      </w:r>
      <w:r w:rsidRPr="00BC5FE2">
        <w:rPr>
          <w:rFonts w:ascii="Times New Roman" w:eastAsia="Times New Roman" w:hAnsi="Times New Roman" w:cs="Times New Roman"/>
          <w:sz w:val="24"/>
          <w:szCs w:val="24"/>
          <w:lang w:eastAsia="ru-RU"/>
        </w:rPr>
        <w:t> Обращение заказчиков, потребителей услуг, смежных эксплуатирующих структур, прочих внутренних или внешних контрагентов в службу эксплуатации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3.1.7 </w:t>
      </w:r>
      <w:r w:rsidRPr="00BC5FE2">
        <w:rPr>
          <w:rFonts w:ascii="Times New Roman" w:eastAsia="Times New Roman" w:hAnsi="Times New Roman" w:cs="Times New Roman"/>
          <w:b/>
          <w:bCs/>
          <w:sz w:val="24"/>
          <w:szCs w:val="24"/>
          <w:bdr w:val="none" w:sz="0" w:space="0" w:color="auto" w:frame="1"/>
          <w:lang w:eastAsia="ru-RU"/>
        </w:rPr>
        <w:t>диспетчерское управление:</w:t>
      </w:r>
      <w:r w:rsidRPr="00BC5FE2">
        <w:rPr>
          <w:rFonts w:ascii="Times New Roman" w:eastAsia="Times New Roman" w:hAnsi="Times New Roman" w:cs="Times New Roman"/>
          <w:sz w:val="24"/>
          <w:szCs w:val="24"/>
          <w:lang w:eastAsia="ru-RU"/>
        </w:rPr>
        <w:t> Централизованная форма оперативного управления на основе применения технических средств связи, сбора информации, ее обработки, осуществления оперативного контроля и регулирования производства.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3.1.8 </w:t>
      </w:r>
      <w:r w:rsidRPr="00BC5FE2">
        <w:rPr>
          <w:rFonts w:ascii="Times New Roman" w:eastAsia="Times New Roman" w:hAnsi="Times New Roman" w:cs="Times New Roman"/>
          <w:b/>
          <w:bCs/>
          <w:sz w:val="24"/>
          <w:szCs w:val="24"/>
          <w:bdr w:val="none" w:sz="0" w:space="0" w:color="auto" w:frame="1"/>
          <w:lang w:eastAsia="ru-RU"/>
        </w:rPr>
        <w:t>мониторинг:</w:t>
      </w:r>
      <w:r w:rsidRPr="00BC5FE2">
        <w:rPr>
          <w:rFonts w:ascii="Times New Roman" w:eastAsia="Times New Roman" w:hAnsi="Times New Roman" w:cs="Times New Roman"/>
          <w:sz w:val="24"/>
          <w:szCs w:val="24"/>
          <w:lang w:eastAsia="ru-RU"/>
        </w:rPr>
        <w:t> Методика и система наблюдений за состоянием определенного объекта или процесса, дающие возможность наблюдать их в развитии, оценивать, оперативно выявлять результаты воздействия различных внешних факторов.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3.1.9 </w:t>
      </w:r>
      <w:r w:rsidRPr="00BC5FE2">
        <w:rPr>
          <w:rFonts w:ascii="Times New Roman" w:eastAsia="Times New Roman" w:hAnsi="Times New Roman" w:cs="Times New Roman"/>
          <w:b/>
          <w:bCs/>
          <w:sz w:val="24"/>
          <w:szCs w:val="24"/>
          <w:bdr w:val="none" w:sz="0" w:space="0" w:color="auto" w:frame="1"/>
          <w:lang w:eastAsia="ru-RU"/>
        </w:rPr>
        <w:t>операционная модель эксплуатации инженерной инфраструктуры ЦОД:</w:t>
      </w:r>
      <w:r w:rsidRPr="00BC5FE2">
        <w:rPr>
          <w:rFonts w:ascii="Times New Roman" w:eastAsia="Times New Roman" w:hAnsi="Times New Roman" w:cs="Times New Roman"/>
          <w:sz w:val="24"/>
          <w:szCs w:val="24"/>
          <w:lang w:eastAsia="ru-RU"/>
        </w:rPr>
        <w:t> Описание набора необходимых элементов, применяемых способов и порядка реализации повседневной деятельности по эксплуатации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Примечание - Она объясняет, каким образом эксплуатирующая структура организует и использует имеющиеся у нее ресурсы для того, чтобы изо дня в день исполнять текущие операции по эксплуатации 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3.1.10 </w:t>
      </w:r>
      <w:r w:rsidRPr="00BC5FE2">
        <w:rPr>
          <w:rFonts w:ascii="Times New Roman" w:eastAsia="Times New Roman" w:hAnsi="Times New Roman" w:cs="Times New Roman"/>
          <w:b/>
          <w:bCs/>
          <w:sz w:val="24"/>
          <w:szCs w:val="24"/>
          <w:bdr w:val="none" w:sz="0" w:space="0" w:color="auto" w:frame="1"/>
          <w:lang w:eastAsia="ru-RU"/>
        </w:rPr>
        <w:t>штатное функционирование системы:</w:t>
      </w:r>
      <w:r w:rsidRPr="00BC5FE2">
        <w:rPr>
          <w:rFonts w:ascii="Times New Roman" w:eastAsia="Times New Roman" w:hAnsi="Times New Roman" w:cs="Times New Roman"/>
          <w:sz w:val="24"/>
          <w:szCs w:val="24"/>
          <w:lang w:eastAsia="ru-RU"/>
        </w:rPr>
        <w:t> Состояние работы системы, в котором значения ее эксплуатационных параметров находятся в допустимых в соответствии с инструкцией по эксплуатации пределах.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3.1.11 </w:t>
      </w:r>
      <w:r w:rsidRPr="00BC5FE2">
        <w:rPr>
          <w:rFonts w:ascii="Times New Roman" w:eastAsia="Times New Roman" w:hAnsi="Times New Roman" w:cs="Times New Roman"/>
          <w:b/>
          <w:bCs/>
          <w:sz w:val="24"/>
          <w:szCs w:val="24"/>
          <w:bdr w:val="none" w:sz="0" w:space="0" w:color="auto" w:frame="1"/>
          <w:lang w:eastAsia="ru-RU"/>
        </w:rPr>
        <w:t>мастер-план машинного зала</w:t>
      </w:r>
      <w:r w:rsidRPr="00BC5FE2">
        <w:rPr>
          <w:rFonts w:ascii="Times New Roman" w:eastAsia="Times New Roman" w:hAnsi="Times New Roman" w:cs="Times New Roman"/>
          <w:sz w:val="24"/>
          <w:szCs w:val="24"/>
          <w:lang w:eastAsia="ru-RU"/>
        </w:rPr>
        <w:t> - Схема (чертеж), отражающая основные объекты машинного зала, в том числе размещение оборудования инженерной инфраструктуры ЦОД в машинном зале, территории (площади), выделенные под различные цели, размещение ИТ-оборудования в машинном зале, аварийные и пожарные выходы, технологические коридоры и др.</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3.2 </w:t>
      </w:r>
      <w:proofErr w:type="gramStart"/>
      <w:r w:rsidRPr="00BC5FE2">
        <w:rPr>
          <w:rFonts w:ascii="Times New Roman" w:eastAsia="Times New Roman" w:hAnsi="Times New Roman" w:cs="Times New Roman"/>
          <w:sz w:val="24"/>
          <w:szCs w:val="24"/>
          <w:lang w:eastAsia="ru-RU"/>
        </w:rPr>
        <w:t>В</w:t>
      </w:r>
      <w:proofErr w:type="gramEnd"/>
      <w:r w:rsidRPr="00BC5FE2">
        <w:rPr>
          <w:rFonts w:ascii="Times New Roman" w:eastAsia="Times New Roman" w:hAnsi="Times New Roman" w:cs="Times New Roman"/>
          <w:sz w:val="24"/>
          <w:szCs w:val="24"/>
          <w:lang w:eastAsia="ru-RU"/>
        </w:rPr>
        <w:t xml:space="preserve"> настоящем стандарте применены следующие сокращения:</w:t>
      </w:r>
    </w:p>
    <w:tbl>
      <w:tblPr>
        <w:tblW w:w="0" w:type="auto"/>
        <w:tblCellMar>
          <w:left w:w="0" w:type="dxa"/>
          <w:right w:w="0" w:type="dxa"/>
        </w:tblCellMar>
        <w:tblLook w:val="04A0" w:firstRow="1" w:lastRow="0" w:firstColumn="1" w:lastColumn="0" w:noHBand="0" w:noVBand="1"/>
      </w:tblPr>
      <w:tblGrid>
        <w:gridCol w:w="1959"/>
        <w:gridCol w:w="8246"/>
      </w:tblGrid>
      <w:tr w:rsidR="00BC5FE2" w:rsidRPr="00BC5FE2" w:rsidTr="00BC5FE2">
        <w:trPr>
          <w:trHeight w:val="15"/>
        </w:trPr>
        <w:tc>
          <w:tcPr>
            <w:tcW w:w="2033" w:type="dxa"/>
            <w:tcBorders>
              <w:top w:val="nil"/>
              <w:left w:val="nil"/>
              <w:bottom w:val="nil"/>
              <w:right w:val="nil"/>
            </w:tcBorders>
            <w:shd w:val="clear" w:color="auto" w:fill="auto"/>
            <w:hideMark/>
          </w:tcPr>
          <w:p w:rsidR="00BC5FE2" w:rsidRPr="00BC5FE2" w:rsidRDefault="00BC5FE2" w:rsidP="00BC5FE2">
            <w:pPr>
              <w:spacing w:after="0" w:line="240" w:lineRule="auto"/>
              <w:rPr>
                <w:rFonts w:ascii="Times New Roman" w:eastAsia="Times New Roman" w:hAnsi="Times New Roman" w:cs="Times New Roman"/>
                <w:sz w:val="24"/>
                <w:szCs w:val="24"/>
                <w:lang w:eastAsia="ru-RU"/>
              </w:rPr>
            </w:pPr>
          </w:p>
        </w:tc>
        <w:tc>
          <w:tcPr>
            <w:tcW w:w="9240" w:type="dxa"/>
            <w:tcBorders>
              <w:top w:val="nil"/>
              <w:left w:val="nil"/>
              <w:bottom w:val="nil"/>
              <w:right w:val="nil"/>
            </w:tcBorders>
            <w:shd w:val="clear" w:color="auto" w:fill="auto"/>
            <w:hideMark/>
          </w:tcPr>
          <w:p w:rsidR="00BC5FE2" w:rsidRPr="00BC5FE2" w:rsidRDefault="00BC5FE2" w:rsidP="00BC5FE2">
            <w:pPr>
              <w:spacing w:after="0" w:line="240" w:lineRule="auto"/>
              <w:rPr>
                <w:rFonts w:ascii="Times New Roman" w:eastAsia="Times New Roman" w:hAnsi="Times New Roman" w:cs="Times New Roman"/>
                <w:sz w:val="20"/>
                <w:szCs w:val="20"/>
                <w:lang w:eastAsia="ru-RU"/>
              </w:rPr>
            </w:pPr>
          </w:p>
        </w:tc>
      </w:tr>
      <w:tr w:rsidR="00BC5FE2" w:rsidRPr="00BC5FE2" w:rsidTr="00BC5FE2">
        <w:tc>
          <w:tcPr>
            <w:tcW w:w="2033"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ЗИП</w:t>
            </w:r>
            <w:r w:rsidRPr="00BC5FE2">
              <w:rPr>
                <w:rFonts w:ascii="Times New Roman" w:eastAsia="Times New Roman" w:hAnsi="Times New Roman" w:cs="Times New Roman"/>
                <w:sz w:val="24"/>
                <w:szCs w:val="24"/>
                <w:lang w:eastAsia="ru-RU"/>
              </w:rPr>
              <w:br/>
            </w:r>
          </w:p>
        </w:tc>
        <w:tc>
          <w:tcPr>
            <w:tcW w:w="9240"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запасные части, инструменты и принадлежности;</w:t>
            </w:r>
          </w:p>
        </w:tc>
      </w:tr>
      <w:tr w:rsidR="00BC5FE2" w:rsidRPr="00BC5FE2" w:rsidTr="00BC5FE2">
        <w:tc>
          <w:tcPr>
            <w:tcW w:w="2033"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ИИ</w:t>
            </w:r>
            <w:r w:rsidRPr="00BC5FE2">
              <w:rPr>
                <w:rFonts w:ascii="Times New Roman" w:eastAsia="Times New Roman" w:hAnsi="Times New Roman" w:cs="Times New Roman"/>
                <w:sz w:val="24"/>
                <w:szCs w:val="24"/>
                <w:lang w:eastAsia="ru-RU"/>
              </w:rPr>
              <w:br/>
            </w:r>
          </w:p>
        </w:tc>
        <w:tc>
          <w:tcPr>
            <w:tcW w:w="9240"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инженерная инфраструктура;</w:t>
            </w:r>
          </w:p>
        </w:tc>
      </w:tr>
      <w:tr w:rsidR="00BC5FE2" w:rsidRPr="00BC5FE2" w:rsidTr="00BC5FE2">
        <w:tc>
          <w:tcPr>
            <w:tcW w:w="2033"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ИТ</w:t>
            </w:r>
            <w:r w:rsidRPr="00BC5FE2">
              <w:rPr>
                <w:rFonts w:ascii="Times New Roman" w:eastAsia="Times New Roman" w:hAnsi="Times New Roman" w:cs="Times New Roman"/>
                <w:sz w:val="24"/>
                <w:szCs w:val="24"/>
                <w:lang w:eastAsia="ru-RU"/>
              </w:rPr>
              <w:br/>
            </w:r>
          </w:p>
        </w:tc>
        <w:tc>
          <w:tcPr>
            <w:tcW w:w="9240"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информационная технология;</w:t>
            </w:r>
          </w:p>
        </w:tc>
      </w:tr>
      <w:tr w:rsidR="00BC5FE2" w:rsidRPr="00BC5FE2" w:rsidTr="00BC5FE2">
        <w:tc>
          <w:tcPr>
            <w:tcW w:w="2033"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BC5FE2">
              <w:rPr>
                <w:rFonts w:ascii="Times New Roman" w:eastAsia="Times New Roman" w:hAnsi="Times New Roman" w:cs="Times New Roman"/>
                <w:sz w:val="24"/>
                <w:szCs w:val="24"/>
                <w:lang w:eastAsia="ru-RU"/>
              </w:rPr>
              <w:t>ОТиПБ</w:t>
            </w:r>
            <w:proofErr w:type="spellEnd"/>
            <w:r w:rsidRPr="00BC5FE2">
              <w:rPr>
                <w:rFonts w:ascii="Times New Roman" w:eastAsia="Times New Roman" w:hAnsi="Times New Roman" w:cs="Times New Roman"/>
                <w:sz w:val="24"/>
                <w:szCs w:val="24"/>
                <w:lang w:eastAsia="ru-RU"/>
              </w:rPr>
              <w:br/>
            </w:r>
          </w:p>
        </w:tc>
        <w:tc>
          <w:tcPr>
            <w:tcW w:w="9240"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охрана труда и промышленная безопасность;</w:t>
            </w:r>
          </w:p>
        </w:tc>
      </w:tr>
      <w:tr w:rsidR="00BC5FE2" w:rsidRPr="00BC5FE2" w:rsidTr="00BC5FE2">
        <w:tc>
          <w:tcPr>
            <w:tcW w:w="2033"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ЦОД</w:t>
            </w:r>
            <w:r w:rsidRPr="00BC5FE2">
              <w:rPr>
                <w:rFonts w:ascii="Times New Roman" w:eastAsia="Times New Roman" w:hAnsi="Times New Roman" w:cs="Times New Roman"/>
                <w:sz w:val="24"/>
                <w:szCs w:val="24"/>
                <w:lang w:eastAsia="ru-RU"/>
              </w:rPr>
              <w:br/>
            </w:r>
          </w:p>
        </w:tc>
        <w:tc>
          <w:tcPr>
            <w:tcW w:w="9240" w:type="dxa"/>
            <w:tcBorders>
              <w:top w:val="nil"/>
              <w:left w:val="nil"/>
              <w:bottom w:val="nil"/>
              <w:right w:val="nil"/>
            </w:tcBorders>
            <w:shd w:val="clear" w:color="auto" w:fill="auto"/>
            <w:tcMar>
              <w:top w:w="0" w:type="dxa"/>
              <w:left w:w="130" w:type="dxa"/>
              <w:bottom w:w="0" w:type="dxa"/>
              <w:right w:w="130" w:type="dxa"/>
            </w:tcMar>
            <w:hideMark/>
          </w:tcPr>
          <w:p w:rsidR="00BC5FE2" w:rsidRPr="00BC5FE2" w:rsidRDefault="00BC5FE2" w:rsidP="00BC5FE2">
            <w:pPr>
              <w:spacing w:after="0" w:line="240" w:lineRule="auto"/>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центр обработки данных.</w:t>
            </w:r>
          </w:p>
        </w:tc>
      </w:tr>
    </w:tbl>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4 Общие положения</w:t>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4.1 Требования к модели эксплуатации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Структура (организация или подразделение), несущая ответственность за эксплуатацию центра обработки данных, должна определить модель эксплуатации.</w:t>
      </w:r>
      <w:r w:rsidRPr="00BC5FE2">
        <w:rPr>
          <w:rFonts w:ascii="Times New Roman" w:eastAsia="Times New Roman" w:hAnsi="Times New Roman" w:cs="Times New Roman"/>
          <w:sz w:val="24"/>
          <w:szCs w:val="24"/>
          <w:lang w:eastAsia="ru-RU"/>
        </w:rPr>
        <w:br/>
      </w:r>
    </w:p>
    <w:tbl>
      <w:tblPr>
        <w:tblW w:w="0" w:type="auto"/>
        <w:jc w:val="center"/>
        <w:tblCellMar>
          <w:left w:w="0" w:type="dxa"/>
          <w:right w:w="0" w:type="dxa"/>
        </w:tblCellMar>
        <w:tblLook w:val="04A0" w:firstRow="1" w:lastRow="0" w:firstColumn="1" w:lastColumn="0" w:noHBand="0" w:noVBand="1"/>
      </w:tblPr>
      <w:tblGrid>
        <w:gridCol w:w="10205"/>
      </w:tblGrid>
      <w:tr w:rsidR="00BC5FE2" w:rsidRPr="00BC5FE2" w:rsidTr="00BC5FE2">
        <w:trPr>
          <w:trHeight w:val="15"/>
          <w:jc w:val="center"/>
        </w:trPr>
        <w:tc>
          <w:tcPr>
            <w:tcW w:w="13306" w:type="dxa"/>
            <w:tcBorders>
              <w:top w:val="nil"/>
              <w:left w:val="nil"/>
              <w:bottom w:val="nil"/>
              <w:right w:val="nil"/>
            </w:tcBorders>
            <w:shd w:val="clear" w:color="auto" w:fill="auto"/>
            <w:hideMark/>
          </w:tcPr>
          <w:p w:rsidR="00BC5FE2" w:rsidRPr="00BC5FE2" w:rsidRDefault="00BC5FE2" w:rsidP="00BC5FE2">
            <w:pPr>
              <w:spacing w:after="0" w:line="240" w:lineRule="auto"/>
              <w:rPr>
                <w:rFonts w:ascii="Times New Roman" w:eastAsia="Times New Roman" w:hAnsi="Times New Roman" w:cs="Times New Roman"/>
                <w:sz w:val="24"/>
                <w:szCs w:val="24"/>
                <w:lang w:eastAsia="ru-RU"/>
              </w:rPr>
            </w:pPr>
          </w:p>
        </w:tc>
      </w:tr>
      <w:tr w:rsidR="00BC5FE2" w:rsidRPr="00BC5FE2" w:rsidTr="00BC5FE2">
        <w:trPr>
          <w:jc w:val="center"/>
        </w:trPr>
        <w:tc>
          <w:tcPr>
            <w:tcW w:w="13306" w:type="dxa"/>
            <w:tcBorders>
              <w:top w:val="nil"/>
              <w:left w:val="nil"/>
              <w:bottom w:val="nil"/>
              <w:right w:val="nil"/>
            </w:tcBorders>
            <w:shd w:val="clear" w:color="auto" w:fill="auto"/>
            <w:tcMar>
              <w:top w:w="0" w:type="dxa"/>
              <w:left w:w="55" w:type="dxa"/>
              <w:bottom w:w="0" w:type="dxa"/>
              <w:right w:w="55" w:type="dxa"/>
            </w:tcMar>
            <w:hideMark/>
          </w:tcPr>
          <w:p w:rsidR="00BC5FE2" w:rsidRPr="00BC5FE2" w:rsidRDefault="00BC5FE2" w:rsidP="00BC5FE2">
            <w:pPr>
              <w:spacing w:after="240" w:line="240" w:lineRule="auto"/>
              <w:jc w:val="center"/>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noProof/>
                <w:sz w:val="24"/>
                <w:szCs w:val="24"/>
                <w:lang w:eastAsia="ru-RU"/>
              </w:rPr>
              <w:lastRenderedPageBreak/>
              <w:drawing>
                <wp:inline distT="0" distB="0" distL="0" distR="0" wp14:anchorId="74B69FDF" wp14:editId="1D201F61">
                  <wp:extent cx="6147236" cy="3873005"/>
                  <wp:effectExtent l="0" t="0" r="6350" b="0"/>
                  <wp:docPr id="1" name="Рисунок 1" descr="https://api.docs.cntd.ru/img/12/00/17/13/32/5ecfa52b-4440-4ec7-9a5c-2bf127e85748/P0075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17/13/32/5ecfa52b-4440-4ec7-9a5c-2bf127e85748/P0075000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9803" cy="3874622"/>
                          </a:xfrm>
                          <a:prstGeom prst="rect">
                            <a:avLst/>
                          </a:prstGeom>
                          <a:noFill/>
                          <a:ln>
                            <a:noFill/>
                          </a:ln>
                        </pic:spPr>
                      </pic:pic>
                    </a:graphicData>
                  </a:graphic>
                </wp:inline>
              </w:drawing>
            </w:r>
          </w:p>
        </w:tc>
      </w:tr>
    </w:tbl>
    <w:p w:rsidR="00BC5FE2" w:rsidRPr="00BC5FE2" w:rsidRDefault="00BC5FE2" w:rsidP="00BC5FE2">
      <w:pPr>
        <w:spacing w:after="0" w:line="240" w:lineRule="auto"/>
        <w:jc w:val="center"/>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Рисунок 2 - Элементы операционной модели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определении и/или описании используемой модели и последующей ее реализации должны быть отражены в том числе и элементы (см. рисунок 2), которые условно могут быть объединены в следующие группы по ключевым направлениям: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организационная модель:</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а) организационная структура,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б) ресурсная модель;</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бизнес-процессы (процессы эксплуатации):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а) процессы управления и взаимодействия: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управления обслуживанием,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взаимодействия,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контроля качества;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б) процессы обслуживания: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предоставления услуг,</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обслуживания оборудования и систем,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 процессы обслуживания объекта,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гарантирования безопасности;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обеспечивающие процессы: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процессы ресурсного обеспечения,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вспомогательные обеспечивающие процессы;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ресурсы: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а) персонал,</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б) инструменты,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информация,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г) финансы.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Краткая характеристика и требования к указанным элементам приведены в соответствующих разделах данного стандарта.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4.2 Общие требования к определению процессов эксплуатации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По всем критичным процессам, процедурам и отдельным операциям следует формировать письменное документальное отражение порядка их реализации и других элементов.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Требования к квалификации исполнителей должны быть сформулированы по всем критичным операциям. Допускается формирование квалификационных требований в виде отдельного справочника со ссылками на соответствующие его элементы при описании процессов, процедур и отдельных операций.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Перечисление необходимых инструментов и принадлежностей является обязательным при описании процессов обслуживания, а также составляющих их процедур и отдельных операций. Для остальных процессов соответствующие описания являются обязательными в случае необходимости применения соответствующих специализированных систем и инструментов при их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Критерием необходимости наличия описаний используемых систем и инструментов, а также порядка их применения является достаточность описания процедур для их исполнения с надлежащим качеством специалистом соответствующей квалификации.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4.3 Структура описания процесса</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разделе 6 настоящего стандарта используется следующая структура описания элементов процессов операционной модели: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Наименование процесса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Пояснения и общая информация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формулировка цели процесса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Описание требований и рекомендаций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Формулировка ожидаемого эффекта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5 Требования к организационной модели эксплуатации инженерной инфраструктуры ЦОД</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Должна быть определена общая организационная модель эксплуатации инженерной инфраструктуры ЦОД. При этом следует достичь определенности по двум направлениям: организационная структура службы эксплуатации и формат ресурсного обеспечения эксплуатационных задач.</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5.1 Требования к организационной структуре службы эксплуатации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Организационная структура службы эксплуатации инженерной инфраструктуры ЦОД описывает организационные взаимоотношения между различными участниками эксплуатационных процессов.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Численность службы эксплуатации должна соответствовать требованиям, проистекающим из состава реализуемых задач по процессам и планируемых объемов загрузки сотрудников.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Допускается формирование организационной модели эксплуатации с привлечением сотрудников различных подразделений и внешних организаций.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Вне зависимости от конкретного варианта организационной модели должны быть однозначно сформулированы принципы и порядок взаимодействия различных подразделений, участвующих в эксплуатации инженерной инфраструктуры ЦОД, их административная подчиненность, порядок и уровни эскалации, механизмы и способы оповещения.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организационной структуры должна быть явно обозначена диспетчерская служба в виде отдельного подразделения либо предусмотрено формирование соответствующей структуры внешним исполнителем, привлекаемым к реализации задач диспетчерского управления при эксплуатации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Права и полномочия диспетчерской службы должны быть достаточны для осуществления непрерывного управления текущей эксплуатацией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Допускается формирование матричной модели управления в рамках организационной структуры службы эксплуатации ЦОД. При этом приоритет должен отдаваться управлению в </w:t>
      </w:r>
      <w:r w:rsidRPr="00BC5FE2">
        <w:rPr>
          <w:rFonts w:ascii="Times New Roman" w:eastAsia="Times New Roman" w:hAnsi="Times New Roman" w:cs="Times New Roman"/>
          <w:sz w:val="24"/>
          <w:szCs w:val="24"/>
          <w:lang w:eastAsia="ru-RU"/>
        </w:rPr>
        <w:lastRenderedPageBreak/>
        <w:t>целях обеспечения текущего функционирования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5.2 Требования к ресурсной модели эксплуатации</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Исполнение задач обслуживания и иных элементов процессов эксплуатации инженерной инфраструктуры ЦОД может осуществляться как собственным персоналом службы эксплуатации ЦОД, так и внешними исполнителями, в том числе сотрудниками той же организации, что и служба эксплуатации ЦОД, а также привлекаемыми на договорной основе другими организациями.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исключения наличия зон неопределенности, правильного формулирования процедур взаимодействия должна быть определена ресурсная модель эксплуатации.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ресурсной модели должны быть определены основополагающие подходы по разграничению зон ответственности между собственным персоналом и привлекаемыми внешними ресурсами, а также принципы организации взаимодействия с внешними структурами.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Зафиксированные в ресурсной модели решения должны найти отражение в построении процессов модели эксплуатации.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Должна быть определена матрица распределения ролей и ответственностей, покрывающая все мероприятия в рамках осуществления задач эксплуатации ЦОД. Фактическая деятельность по эксплуатации должна осуществляться в соответствии с данной матрицей.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Необходимо обеспечить максимально высокий уровень качества организации эксплуатации ЦОД, для управления текущей операционной деятельностью следует применять комплексный, интегрированный подход, охватывающий все аспекты работ в ЦОД, исключающий дробление ответственности за совокупный результат по отдельным структурам и/или подразделениям.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1"/>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6 Требования к процессам эксплуатации инженерной инфраструктуры ЦОД</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Процессы модели эксплуатации инженерной инфраструктуры ЦОД являются регулярно повторяющимися последовательностями взаимосвязанных мероприятий (операций, процедур, действий) по обслуживанию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обеспечения надлежащего обслуживания перечисленные процессы должны быть определены с достаточным уровнем детализации, необходимо организовать их исполнение в соответствии с требованиями, предъявляемыми к качеству функционирования центра обработки данных. В частности, по каждому процессу и каждой из рекомендованных к реализации процедур должны быть определены: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порядок действий;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перечень необходимых взаимодействий и способы их осуществления;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необходимые для реализации перечисленных мероприятий инструменты и технологии;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порядок и способы применения инструментов и технологий.</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Исполнители должны быть ознакомлены и готовы осуществлять перечисленные мероприятия в соответствии с обозначенными рекомендациями, требованиями и ограничениями.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6.1 Процессы управления обслуживанием</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Группа процессов, предназначенных для организации и управления исполнением работ по эксплуатации и обслуживанию инженерных систем и отдельного оборудования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6.1.1 Диспетчерское управление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обеспечение общего оперативного управления и координации текущего взаимодействия персонала службы эксплуатации и привлекаемых внешних ресурсов в ходе реализации задач эксплуатации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Должны быть разработаны и сформированы процедуры оповещения для различных ситуаций и разнообразных задач эксплуатации.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Следует сформировать все необходимые процедуры эскалации.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Процессу должны быть доступны: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списки исполнителей, допущенных к работам;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планы работ по различным направлениям эксплуатации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актуальная информация об имеющихся ресурсах и поставленных им задачах;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информация о текущем состоянии объекта (в консолидированном или развернутом виде, из всех имеющихся источников).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Процесс должен формировать оперативный отчет о состоянии ЦОД, произошедших событиях и выполненных (выполняемых) работах.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процесса должны быть реализованы следующие мероприятия: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организация работы дежурной смены;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обеспечение функционирования объекта в соответствии с установленными требованиями;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контроль соответствия функционирования объекта установленным требованиям;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4) принятие оперативных мер по ликвидации нарушений в функционировании объекта;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5) контроль качества предоставления услуг внешними поставщиками и принятие оперативных мер в случае отклонений качества услуг;</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6) контроль за соблюдением технологий обслуживания объекта;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7) обеспечение соблюдения требований по технике безопасности на объекте.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Реализация процесса диспетчерского управления должна быть возложена на диспетчерскую службу службы эксплуатации инженерной инфраструктуры ЦОД либо на структуру, сформированную для исполнения данных задач внешним исполнителем, привлекаемым к реализации задач диспетчерского управления при эксплуатации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наличие постоянно действующей функции, обеспечивающей координацию и взаимодействие при эксплуатации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действующие и понятные исполнителям процедуры оповещения и взаимодействия.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6.1.2 Управление текущей операционной деятельностью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обеспечение планирования, управления и координации взаимодействия в ходе реализации текущих операционных задач.</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текущей операционной деятельности выполняются задачи и работы по регулировке и настройке систем для обеспечения соответствия их рабочих параметров целевым параметрам функционирования отдельных систем и объекта в целом, а также осуществление подключений, отключений и переключений нагрузки и оборудования инженерных систем в рамках реализации заявок и в плановом порядке.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Должны формироваться оперативные (краткосрочные) планы текущей операционной деятельности.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текущей операционной деятельности следует предусмотреть планирование ротации избыточного оборудования и последующее осуществление переключений нагрузки между оборудованием с целью исполнения плана ротации.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Необходимо определить формальные процедуры назначения исполнителей на отдельные работы.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Результаты исполнения работ и состав выполненных действий должны быть отражены в соответствующих рабочих журналах. Объем и полнота отражения информации определяются в зависимости от критичности обслуживаемых систем, исполняемых работ и прочих параметров. Требования по объему и полноте отражения информации следует сформулировать в виде отдельного документа.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текущей операционной деятельности предусмотрены следующие направления работы: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исполнение всех инфраструктурных операций, относящихся к оборудованию инженерных систем (в том числе изменение их настроек, инициальное конфигурирование для работы в нормальных условиях, типовые изменения операционных конфигураций и другие);</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исполнение инфраструктурных операций в нестандартных условиях и в аварийных ситуациях. По всем направлениям текущей операционной деятельности должны быть определены и задокументированы соответствующие правила и процедуры.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исполнение текущих операционных задач эксплуатации центра обработки данных в соответствии с определенными требованиями и нормативами;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минимизация количества отказов и аварийных ситуаций, связанных с некачественным исполнением текущих операционных задач.</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6.1.3 Управление техническим обслуживанием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обеспечение планирования, управления и координации взаимодействия в ходе реализации задач технического обслуживания.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процесса должны быть реализованы следующие мероприятия: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планирование технического обслуживания;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формирование задач технического обслуживания;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назначение исполнителей на отдельные задачи технического обслуживания;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4) контроль исполнения работ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5) учет информации о выполненных работах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6) инициирование материально-технического обеспечения работ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7) отражение/учет информации об изменении состояния оборудования/систем по результатам исполнения работ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обеспечения более полного сбора информации и повышения качества планирования работ по техническому обслуживанию целесообразно помимо перечисленных выше мероприятий реализовывать следующие дополнительные мероприятия: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предоставление информации о расходе материалов в ходе исполнения работ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предоставление информации о трудозатратах, понесенных в ходе исполнения работ по техническому обслуживанию.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Обслуживание необходимо осуществлять в соответствии с установленным графиком. Следует вести учет соответствия сроков исполнения работ графику. Факты изменения сроков должны отражаться в отчетах.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Обслуживание осуществляют в рамках единой программы технического обслуживания, определяющей перечень работ, плановые сроки их исполнения, методы и способы контроля факта и качества исполнения работ, а также способ учета и регистрации факта исполнения работ.</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Основой для формирования программы технического обслуживания должны быть нормативы, требования и рекомендации регуляторов, производителей оборудования, </w:t>
      </w:r>
      <w:r w:rsidRPr="00BC5FE2">
        <w:rPr>
          <w:rFonts w:ascii="Times New Roman" w:eastAsia="Times New Roman" w:hAnsi="Times New Roman" w:cs="Times New Roman"/>
          <w:sz w:val="24"/>
          <w:szCs w:val="24"/>
          <w:lang w:eastAsia="ru-RU"/>
        </w:rPr>
        <w:lastRenderedPageBreak/>
        <w:t>проектировщиков и строителей объекта.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Должна быть обеспечена координация программы технического обслуживания с планами изменений и иными эксплуатационными мероприятиями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формирования программы технического обслуживания может использоваться как нормативное определение сроков обслуживания, так и подход, основанный на текущем состоянии объекта и прогнозе запаса надежности (обслуживание по текущему состоянию). В последнем случае должен быть реализован весь комплекс технических решений, позволяющих осуществлять эффективное прогнозирование запаса надежности.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осуществление технического обслуживания оборудования и инженерных систем центра обработки данных в соответствии с определенными требованиями и нормативами;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минимизация количества отказов и аварийных ситуаций, связанных с некачественным исполнением задач технического обслуживания оборудования и инженерных систем центра обработки данных.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6.1.4 Управление ремонтами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обеспечение организации эффективного осуществления ремонтов оборудования и систем инженерного обеспечения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В рамках процесса должны быть реализованы следующие мероприятия: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планирование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формирование задач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назначение исполнителей на задачи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4) контроль исполнения работ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5) учет информации о выполненных работах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6) инициирование материально-технического обеспечения работ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7) отражение/учет информации об изменении состояния оборудования/систем по результатам исполнения работ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обеспечения более полного сбора информации и повышения качества планирования ремонтных работ целесообразно помимо перечисленных выше мероприятий реализовывать следующие дополнительные мероприятия: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предоставление информации о расходе материалов в ходе работ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2) предоставление информации о трудозатратах, понесенных в ходе работ по осуществлению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Должны быть определены:</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перечень оборудования и систем, подлежащих ремонту;</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параметры и классификация ремонтов;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процедуры осуществления ремонта оборудования и систем с достаточным уровнем детализации, позволяющим безошибочно и качественно осуществлять ремонтные работы специалистам надлежащей квалификации.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снижение числа отказов, связанных с износом оборудования;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оптимизация проведения ремонтных работ по стоимости и срокам за счет своевременного и полномасштабного их планирования с учетом различных факторов влияния.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6.1.5 Управление жизненным циклом активов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повышение эффективности использования оборудования инженерной инфраструктуры ЦОД как производственных активов.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Должны быть сформированы и функционировать следующие процедуры процесса управления активами: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1) планирование жизненного цикла активов;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2) отслеживание состояний активов (в рамках жизненного цикла);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3) инициирование изменений состояний активов;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4) предоставление информации.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Должны быть определены перечень отслеживаемых активов, их жизненный цикл (который может быть разным для разных активов).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Необходимо осуществлять отслеживание состояния актива с точки зрения жизненного цикла.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Следует выполнять планирование жизненного цикла актива.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Действия по изменению состояния активов инициируют в соответствии с планом их жизненного цикла.</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Необходимо формировать требования к финансированию замены активов (включая собственно закупку нового оборудования и его последующий монтаж, </w:t>
      </w:r>
      <w:proofErr w:type="spellStart"/>
      <w:r w:rsidRPr="00BC5FE2">
        <w:rPr>
          <w:rFonts w:ascii="Times New Roman" w:eastAsia="Times New Roman" w:hAnsi="Times New Roman" w:cs="Times New Roman"/>
          <w:sz w:val="24"/>
          <w:szCs w:val="24"/>
          <w:lang w:eastAsia="ru-RU"/>
        </w:rPr>
        <w:t>пусконаладку</w:t>
      </w:r>
      <w:proofErr w:type="spellEnd"/>
      <w:r w:rsidRPr="00BC5FE2">
        <w:rPr>
          <w:rFonts w:ascii="Times New Roman" w:eastAsia="Times New Roman" w:hAnsi="Times New Roman" w:cs="Times New Roman"/>
          <w:sz w:val="24"/>
          <w:szCs w:val="24"/>
          <w:lang w:eastAsia="ru-RU"/>
        </w:rPr>
        <w:t>, а также демонтаж и утилизацию заменяемого оборудования).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lastRenderedPageBreak/>
        <w:t>Процесс должен предоставлять значимую информацию по активам для других процессов, в том числе для управления финансами, ремонтами и др.</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Эффект от реализации: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оптимизация затрат на эксплуатацию;</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рациональное использование технического ресурса оборудования;</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повышение эффективности систем объекта как производственных фондов.</w:t>
      </w:r>
      <w:r w:rsidRPr="00BC5FE2">
        <w:rPr>
          <w:rFonts w:ascii="Times New Roman" w:eastAsia="Times New Roman" w:hAnsi="Times New Roman" w:cs="Times New Roman"/>
          <w:sz w:val="24"/>
          <w:szCs w:val="24"/>
          <w:lang w:eastAsia="ru-RU"/>
        </w:rPr>
        <w:br/>
      </w:r>
    </w:p>
    <w:p w:rsidR="00BC5FE2" w:rsidRPr="00BC5FE2" w:rsidRDefault="00BC5FE2" w:rsidP="00BC5FE2">
      <w:pPr>
        <w:spacing w:after="240" w:line="240" w:lineRule="auto"/>
        <w:textAlignment w:val="baseline"/>
        <w:outlineLvl w:val="2"/>
        <w:rPr>
          <w:rFonts w:ascii="Times New Roman" w:eastAsia="Times New Roman" w:hAnsi="Times New Roman" w:cs="Times New Roman"/>
          <w:b/>
          <w:bCs/>
          <w:sz w:val="24"/>
          <w:szCs w:val="24"/>
          <w:lang w:eastAsia="ru-RU"/>
        </w:rPr>
      </w:pPr>
      <w:r w:rsidRPr="00BC5FE2">
        <w:rPr>
          <w:rFonts w:ascii="Times New Roman" w:eastAsia="Times New Roman" w:hAnsi="Times New Roman" w:cs="Times New Roman"/>
          <w:b/>
          <w:bCs/>
          <w:sz w:val="24"/>
          <w:szCs w:val="24"/>
          <w:lang w:eastAsia="ru-RU"/>
        </w:rPr>
        <w:t>     6.2 Процессы взаимодействия</w:t>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Это группа процессов, предназначенных для управления и организации взаимодействия с внешними по отношению к службе эксплуатации структурами, участвующими в исполнении работ по эксплуатации и обслуживанию инженерных систем и отдельного оборудования ЦОД, а также с поставщиками услуг для функционирования инженерной инфраструктуры ЦОД и с потребителями услуг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b/>
          <w:bCs/>
          <w:sz w:val="24"/>
          <w:szCs w:val="24"/>
          <w:bdr w:val="none" w:sz="0" w:space="0" w:color="auto" w:frame="1"/>
          <w:lang w:eastAsia="ru-RU"/>
        </w:rPr>
        <w:t>6.2.1 Управление взаимодействием с подрядчиками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Цель - обеспечить эффективное привлечение внешних исполнителей для осуществления эксплуатации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Следует сформировать перечень задач, для исполнения которых могут привлекаться внешние исполнители.</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Также должен быть сформирован и поддерживаться в актуальном состоянии перечень возможных поставщиков, обладающих необходимыми квалификацией и опытом для реализации задач эксплуатации компонент инженерной инфраструктуры ЦОД.</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По каждому поставщику в перечне необходимо указать, к каким работам он может быть привлечен.</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Должна вестись история взаимодействия с каждым поставщиком.</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Для привлечения внешних поставщиков могут использоваться различные формы </w:t>
      </w:r>
      <w:proofErr w:type="spellStart"/>
      <w:r w:rsidRPr="00BC5FE2">
        <w:rPr>
          <w:rFonts w:ascii="Times New Roman" w:eastAsia="Times New Roman" w:hAnsi="Times New Roman" w:cs="Times New Roman"/>
          <w:sz w:val="24"/>
          <w:szCs w:val="24"/>
          <w:lang w:eastAsia="ru-RU"/>
        </w:rPr>
        <w:t>контрактования</w:t>
      </w:r>
      <w:proofErr w:type="spellEnd"/>
      <w:r w:rsidRPr="00BC5FE2">
        <w:rPr>
          <w:rFonts w:ascii="Times New Roman" w:eastAsia="Times New Roman" w:hAnsi="Times New Roman" w:cs="Times New Roman"/>
          <w:sz w:val="24"/>
          <w:szCs w:val="24"/>
          <w:lang w:eastAsia="ru-RU"/>
        </w:rPr>
        <w:t>. Рекомендуется по возможности оформлять сотрудничество путем заключения соглашения об уровнях обслуживания (SLA), в котором отражаются объемы работ, график их исполнения, способы взаимодействия, ограничения по времени реакции и прочие значимые параметры услуг.</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Процедуры привлечения к работам внешних исполнителей должны быть однозначно определены и доведены до всех участников процессов как в эксплуатирующей организации, так и во внешних структурах.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Для повышения надежности обслуживания целесообразно предусмотреть особый порядок привлечения внешних исполнителей в экстренных случаях.</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 xml:space="preserve">Управление поставщиками необходимо осуществлять в соответствии с согласованными и утвержденными принципами. Для этих целей для каждого поставщика должен быть определен и </w:t>
      </w:r>
      <w:r w:rsidRPr="00BC5FE2">
        <w:rPr>
          <w:rFonts w:ascii="Times New Roman" w:eastAsia="Times New Roman" w:hAnsi="Times New Roman" w:cs="Times New Roman"/>
          <w:sz w:val="24"/>
          <w:szCs w:val="24"/>
          <w:lang w:eastAsia="ru-RU"/>
        </w:rPr>
        <w:lastRenderedPageBreak/>
        <w:t>назначен ответственный за взаимодействие с данным поставщиком исполнитель.</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Требования к предоставляемым поставщиками услугам должны соответствовать требованиям, предъявляемым к деятельности по эксплуатации инженерной инфраструктуры ЦОД со стороны заказчиков и потребителей ее услуг.</w:t>
      </w:r>
      <w:r w:rsidRPr="00BC5FE2">
        <w:rPr>
          <w:rFonts w:ascii="Times New Roman" w:eastAsia="Times New Roman" w:hAnsi="Times New Roman" w:cs="Times New Roman"/>
          <w:sz w:val="24"/>
          <w:szCs w:val="24"/>
          <w:lang w:eastAsia="ru-RU"/>
        </w:rPr>
        <w:br/>
      </w:r>
    </w:p>
    <w:p w:rsidR="00BC5FE2" w:rsidRPr="00BC5FE2" w:rsidRDefault="00BC5FE2" w:rsidP="00BC5FE2">
      <w:pPr>
        <w:spacing w:after="0" w:line="240" w:lineRule="auto"/>
        <w:ind w:firstLine="480"/>
        <w:textAlignment w:val="baseline"/>
        <w:rPr>
          <w:rFonts w:ascii="Times New Roman" w:eastAsia="Times New Roman" w:hAnsi="Times New Roman" w:cs="Times New Roman"/>
          <w:sz w:val="24"/>
          <w:szCs w:val="24"/>
          <w:lang w:eastAsia="ru-RU"/>
        </w:rPr>
      </w:pPr>
      <w:r w:rsidRPr="00BC5FE2">
        <w:rPr>
          <w:rFonts w:ascii="Times New Roman" w:eastAsia="Times New Roman" w:hAnsi="Times New Roman" w:cs="Times New Roman"/>
          <w:sz w:val="24"/>
          <w:szCs w:val="24"/>
          <w:lang w:eastAsia="ru-RU"/>
        </w:rPr>
        <w:t>Следует регулярно, не реже одного раза в год, проводить совещания с каждым поставщиком, на которых рассматривают результаты взаимодействия, возникшие вопросы и проблемы, подходы к дальнейшему взаимодействию. По итогам такого рода совещаний вносят изменения в договоры с поставщиками, если будет определена соответствующая необходимость и принято такое решение.</w:t>
      </w:r>
    </w:p>
    <w:p w:rsidR="00D36C19" w:rsidRPr="00BC5FE2" w:rsidRDefault="00D36C19" w:rsidP="00BC5FE2">
      <w:pPr>
        <w:ind w:firstLine="567"/>
        <w:rPr>
          <w:rFonts w:ascii="Times New Roman" w:hAnsi="Times New Roman" w:cs="Times New Roman"/>
        </w:rPr>
      </w:pPr>
    </w:p>
    <w:sectPr w:rsidR="00D36C19" w:rsidRPr="00BC5FE2" w:rsidSect="00BC5FE2">
      <w:footerReference w:type="default" r:id="rId1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0B" w:rsidRDefault="00623C0B" w:rsidP="00BC5FE2">
      <w:pPr>
        <w:spacing w:after="0" w:line="240" w:lineRule="auto"/>
      </w:pPr>
      <w:r>
        <w:separator/>
      </w:r>
    </w:p>
  </w:endnote>
  <w:endnote w:type="continuationSeparator" w:id="0">
    <w:p w:rsidR="00623C0B" w:rsidRDefault="00623C0B" w:rsidP="00BC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268291"/>
      <w:docPartObj>
        <w:docPartGallery w:val="Page Numbers (Bottom of Page)"/>
        <w:docPartUnique/>
      </w:docPartObj>
    </w:sdtPr>
    <w:sdtContent>
      <w:p w:rsidR="00BC5FE2" w:rsidRDefault="00BC5FE2">
        <w:pPr>
          <w:pStyle w:val="a5"/>
          <w:jc w:val="right"/>
        </w:pPr>
        <w:r>
          <w:fldChar w:fldCharType="begin"/>
        </w:r>
        <w:r>
          <w:instrText>PAGE   \* MERGEFORMAT</w:instrText>
        </w:r>
        <w:r>
          <w:fldChar w:fldCharType="separate"/>
        </w:r>
        <w:r>
          <w:rPr>
            <w:noProof/>
          </w:rPr>
          <w:t>15</w:t>
        </w:r>
        <w:r>
          <w:fldChar w:fldCharType="end"/>
        </w:r>
      </w:p>
    </w:sdtContent>
  </w:sdt>
  <w:p w:rsidR="00BC5FE2" w:rsidRDefault="00BC5FE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0B" w:rsidRDefault="00623C0B" w:rsidP="00BC5FE2">
      <w:pPr>
        <w:spacing w:after="0" w:line="240" w:lineRule="auto"/>
      </w:pPr>
      <w:r>
        <w:separator/>
      </w:r>
    </w:p>
  </w:footnote>
  <w:footnote w:type="continuationSeparator" w:id="0">
    <w:p w:rsidR="00623C0B" w:rsidRDefault="00623C0B" w:rsidP="00BC5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2"/>
    <w:rsid w:val="005D7072"/>
    <w:rsid w:val="00623C0B"/>
    <w:rsid w:val="00BC5FE2"/>
    <w:rsid w:val="00D36C19"/>
    <w:rsid w:val="00E2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C6C"/>
  <w15:chartTrackingRefBased/>
  <w15:docId w15:val="{2CE23D54-9257-415B-A62F-D5042794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C5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BC5F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FE2"/>
  </w:style>
  <w:style w:type="paragraph" w:styleId="a5">
    <w:name w:val="footer"/>
    <w:basedOn w:val="a"/>
    <w:link w:val="a6"/>
    <w:uiPriority w:val="99"/>
    <w:unhideWhenUsed/>
    <w:rsid w:val="00BC5F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7817">
      <w:bodyDiv w:val="1"/>
      <w:marLeft w:val="0"/>
      <w:marRight w:val="0"/>
      <w:marTop w:val="0"/>
      <w:marBottom w:val="0"/>
      <w:divBdr>
        <w:top w:val="none" w:sz="0" w:space="0" w:color="auto"/>
        <w:left w:val="none" w:sz="0" w:space="0" w:color="auto"/>
        <w:bottom w:val="none" w:sz="0" w:space="0" w:color="auto"/>
        <w:right w:val="none" w:sz="0" w:space="0" w:color="auto"/>
      </w:divBdr>
      <w:divsChild>
        <w:div w:id="480000430">
          <w:marLeft w:val="0"/>
          <w:marRight w:val="0"/>
          <w:marTop w:val="0"/>
          <w:marBottom w:val="0"/>
          <w:divBdr>
            <w:top w:val="none" w:sz="0" w:space="0" w:color="auto"/>
            <w:left w:val="none" w:sz="0" w:space="0" w:color="auto"/>
            <w:bottom w:val="none" w:sz="0" w:space="0" w:color="auto"/>
            <w:right w:val="none" w:sz="0" w:space="0" w:color="auto"/>
          </w:divBdr>
          <w:divsChild>
            <w:div w:id="1051803807">
              <w:marLeft w:val="0"/>
              <w:marRight w:val="0"/>
              <w:marTop w:val="0"/>
              <w:marBottom w:val="0"/>
              <w:divBdr>
                <w:top w:val="none" w:sz="0" w:space="0" w:color="auto"/>
                <w:left w:val="none" w:sz="0" w:space="0" w:color="auto"/>
                <w:bottom w:val="none" w:sz="0" w:space="0" w:color="auto"/>
                <w:right w:val="none" w:sz="0" w:space="0" w:color="auto"/>
              </w:divBdr>
              <w:divsChild>
                <w:div w:id="545992445">
                  <w:marLeft w:val="0"/>
                  <w:marRight w:val="0"/>
                  <w:marTop w:val="0"/>
                  <w:marBottom w:val="0"/>
                  <w:divBdr>
                    <w:top w:val="none" w:sz="0" w:space="0" w:color="auto"/>
                    <w:left w:val="none" w:sz="0" w:space="0" w:color="auto"/>
                    <w:bottom w:val="none" w:sz="0" w:space="0" w:color="auto"/>
                    <w:right w:val="none" w:sz="0" w:space="0" w:color="auto"/>
                  </w:divBdr>
                  <w:divsChild>
                    <w:div w:id="2803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10939">
          <w:marLeft w:val="0"/>
          <w:marRight w:val="0"/>
          <w:marTop w:val="0"/>
          <w:marBottom w:val="0"/>
          <w:divBdr>
            <w:top w:val="none" w:sz="0" w:space="0" w:color="auto"/>
            <w:left w:val="none" w:sz="0" w:space="0" w:color="auto"/>
            <w:bottom w:val="none" w:sz="0" w:space="0" w:color="auto"/>
            <w:right w:val="none" w:sz="0" w:space="0" w:color="auto"/>
          </w:divBdr>
          <w:divsChild>
            <w:div w:id="729157883">
              <w:marLeft w:val="0"/>
              <w:marRight w:val="0"/>
              <w:marTop w:val="0"/>
              <w:marBottom w:val="0"/>
              <w:divBdr>
                <w:top w:val="none" w:sz="0" w:space="0" w:color="auto"/>
                <w:left w:val="none" w:sz="0" w:space="0" w:color="auto"/>
                <w:bottom w:val="none" w:sz="0" w:space="0" w:color="auto"/>
                <w:right w:val="none" w:sz="0" w:space="0" w:color="auto"/>
              </w:divBdr>
              <w:divsChild>
                <w:div w:id="17091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10251">
      <w:bodyDiv w:val="1"/>
      <w:marLeft w:val="0"/>
      <w:marRight w:val="0"/>
      <w:marTop w:val="0"/>
      <w:marBottom w:val="0"/>
      <w:divBdr>
        <w:top w:val="none" w:sz="0" w:space="0" w:color="auto"/>
        <w:left w:val="none" w:sz="0" w:space="0" w:color="auto"/>
        <w:bottom w:val="none" w:sz="0" w:space="0" w:color="auto"/>
        <w:right w:val="none" w:sz="0" w:space="0" w:color="auto"/>
      </w:divBdr>
      <w:divsChild>
        <w:div w:id="1739280288">
          <w:marLeft w:val="0"/>
          <w:marRight w:val="0"/>
          <w:marTop w:val="0"/>
          <w:marBottom w:val="0"/>
          <w:divBdr>
            <w:top w:val="none" w:sz="0" w:space="0" w:color="auto"/>
            <w:left w:val="none" w:sz="0" w:space="0" w:color="auto"/>
            <w:bottom w:val="none" w:sz="0" w:space="0" w:color="auto"/>
            <w:right w:val="none" w:sz="0" w:space="0" w:color="auto"/>
          </w:divBdr>
          <w:divsChild>
            <w:div w:id="651831094">
              <w:marLeft w:val="0"/>
              <w:marRight w:val="0"/>
              <w:marTop w:val="0"/>
              <w:marBottom w:val="0"/>
              <w:divBdr>
                <w:top w:val="none" w:sz="0" w:space="0" w:color="auto"/>
                <w:left w:val="none" w:sz="0" w:space="0" w:color="auto"/>
                <w:bottom w:val="none" w:sz="0" w:space="0" w:color="auto"/>
                <w:right w:val="none" w:sz="0" w:space="0" w:color="auto"/>
              </w:divBdr>
              <w:divsChild>
                <w:div w:id="2056738409">
                  <w:marLeft w:val="0"/>
                  <w:marRight w:val="0"/>
                  <w:marTop w:val="0"/>
                  <w:marBottom w:val="0"/>
                  <w:divBdr>
                    <w:top w:val="none" w:sz="0" w:space="0" w:color="auto"/>
                    <w:left w:val="none" w:sz="0" w:space="0" w:color="auto"/>
                    <w:bottom w:val="none" w:sz="0" w:space="0" w:color="auto"/>
                    <w:right w:val="none" w:sz="0" w:space="0" w:color="auto"/>
                  </w:divBdr>
                  <w:divsChild>
                    <w:div w:id="328942399">
                      <w:marLeft w:val="0"/>
                      <w:marRight w:val="0"/>
                      <w:marTop w:val="0"/>
                      <w:marBottom w:val="0"/>
                      <w:divBdr>
                        <w:top w:val="none" w:sz="0" w:space="0" w:color="auto"/>
                        <w:left w:val="none" w:sz="0" w:space="0" w:color="auto"/>
                        <w:bottom w:val="none" w:sz="0" w:space="0" w:color="auto"/>
                        <w:right w:val="none" w:sz="0" w:space="0" w:color="auto"/>
                      </w:divBdr>
                    </w:div>
                    <w:div w:id="8081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09304" TargetMode="External"/><Relationship Id="rId13" Type="http://schemas.openxmlformats.org/officeDocument/2006/relationships/hyperlink" Target="https://docs.cntd.ru/document/120005832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cs.cntd.ru/document/420284277" TargetMode="External"/><Relationship Id="rId12" Type="http://schemas.openxmlformats.org/officeDocument/2006/relationships/hyperlink" Target="https://docs.cntd.ru/document/1200144954" TargetMode="External"/><Relationship Id="rId1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s://docs.cntd.ru/document/120014495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564510664" TargetMode="External"/><Relationship Id="rId11" Type="http://schemas.openxmlformats.org/officeDocument/2006/relationships/hyperlink" Target="https://docs.cntd.ru/document/1200109304" TargetMode="External"/><Relationship Id="rId5" Type="http://schemas.openxmlformats.org/officeDocument/2006/relationships/endnotes" Target="endnotes.xml"/><Relationship Id="rId15" Type="http://schemas.openxmlformats.org/officeDocument/2006/relationships/hyperlink" Target="https://docs.cntd.ru/document/1200109304"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cntd.ru/document/1200144954" TargetMode="External"/><Relationship Id="rId14" Type="http://schemas.openxmlformats.org/officeDocument/2006/relationships/hyperlink" Target="https://docs.cntd.ru/document/1200160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4968</Words>
  <Characters>28322</Characters>
  <Application>Microsoft Office Word</Application>
  <DocSecurity>0</DocSecurity>
  <Lines>236</Lines>
  <Paragraphs>66</Paragraphs>
  <ScaleCrop>false</ScaleCrop>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2021-04-05T13:40:00Z</dcterms:created>
  <dcterms:modified xsi:type="dcterms:W3CDTF">2021-04-05T13:45:00Z</dcterms:modified>
</cp:coreProperties>
</file>