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2240" w:h="15840"/>
          <w:pgMar w:top="0" w:bottom="280" w:left="640" w:right="420"/>
        </w:sectPr>
      </w:pPr>
    </w:p>
    <w:p>
      <w:pPr>
        <w:spacing w:line="249" w:lineRule="auto" w:before="102"/>
        <w:ind w:left="247" w:right="189" w:firstLine="0"/>
        <w:jc w:val="left"/>
        <w:rPr>
          <w:b/>
          <w:sz w:val="44"/>
        </w:rPr>
      </w:pPr>
      <w:r>
        <w:rPr>
          <w:b/>
          <w:color w:val="2CB34A"/>
          <w:w w:val="105"/>
          <w:sz w:val="44"/>
        </w:rPr>
        <w:t>Интеллектуальное управление центром обработки данных без сложностей</w:t>
      </w:r>
    </w:p>
    <w:p>
      <w:pPr>
        <w:spacing w:before="158"/>
        <w:ind w:left="247" w:right="0" w:firstLine="0"/>
        <w:jc w:val="left"/>
        <w:rPr>
          <w:b/>
          <w:sz w:val="36"/>
        </w:rPr>
      </w:pPr>
      <w:r>
        <w:rPr>
          <w:b/>
          <w:color w:val="979EA5"/>
          <w:spacing w:val="-3"/>
          <w:w w:val="105"/>
          <w:sz w:val="36"/>
        </w:rPr>
        <w:t>StruxreWare</w:t>
      </w:r>
      <w:r>
        <w:rPr>
          <w:b/>
          <w:color w:val="979EA5"/>
          <w:spacing w:val="-3"/>
          <w:w w:val="105"/>
          <w:position w:val="12"/>
          <w:sz w:val="21"/>
        </w:rPr>
        <w:t>TM </w:t>
      </w:r>
      <w:r>
        <w:rPr>
          <w:b/>
          <w:color w:val="979EA5"/>
          <w:w w:val="105"/>
          <w:sz w:val="36"/>
        </w:rPr>
        <w:t>для центров обработки данных</w:t>
      </w:r>
    </w:p>
    <w:p>
      <w:pPr>
        <w:pStyle w:val="BodyText"/>
        <w:spacing w:line="292" w:lineRule="auto" w:before="166"/>
        <w:ind w:left="267" w:right="384"/>
      </w:pPr>
      <w:r>
        <w:rPr>
          <w:color w:val="4D555B"/>
          <w:w w:val="105"/>
        </w:rPr>
        <w:t>Вы ежедневно сталкиваетесь с проблемами центра обработки данных - от управления сложной ИТ-инфраструктурой до сокращения расходов на электроэнергию и эксплуатацию в масштабе предприятия. Теперь получите максимальную отдачу от своего центра обработки данных и упростите операции с помощью ПО StruxureWare ™ для центров обработки данных.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267" w:right="220"/>
      </w:pPr>
      <w:r>
        <w:rPr>
          <w:color w:val="4D555B"/>
          <w:w w:val="105"/>
        </w:rPr>
        <w:t>Это расширенный пакет DCIM, который обеспечивает сквозную прозрачность, необходимую для оптимизации, эксплуатации и управления вашим центром обработки данных от стойки к ряду, от помещения к зданию.</w:t>
      </w:r>
    </w:p>
    <w:p>
      <w:pPr>
        <w:pStyle w:val="BodyText"/>
        <w:spacing w:before="3"/>
        <w:rPr>
          <w:sz w:val="24"/>
        </w:rPr>
      </w:pPr>
    </w:p>
    <w:p>
      <w:pPr>
        <w:spacing w:line="292" w:lineRule="auto" w:before="0"/>
        <w:ind w:left="267" w:right="863" w:firstLine="0"/>
        <w:jc w:val="left"/>
        <w:rPr>
          <w:sz w:val="20"/>
        </w:rPr>
      </w:pPr>
      <w:r>
        <w:rPr>
          <w:b/>
          <w:color w:val="2CB34A"/>
          <w:w w:val="105"/>
          <w:sz w:val="20"/>
        </w:rPr>
        <w:t>Мост между объектами и ИТ </w:t>
      </w:r>
      <w:r>
        <w:rPr>
          <w:color w:val="4D555B"/>
          <w:w w:val="105"/>
          <w:sz w:val="20"/>
        </w:rPr>
        <w:t>Программное обеспечение StruxureWare для центров обработки данных обеспечивает простой интегрированный интерфейс для многих пользователей и групп, которые управляют как объектом, так и ИТ</w:t>
      </w:r>
    </w:p>
    <w:p>
      <w:pPr>
        <w:pStyle w:val="BodyText"/>
        <w:spacing w:line="292" w:lineRule="auto"/>
        <w:ind w:left="267" w:right="384"/>
      </w:pPr>
      <w:r>
        <w:rPr>
          <w:color w:val="4D555B"/>
          <w:w w:val="105"/>
        </w:rPr>
        <w:t>инфраструктурных сред, а также руководителей, которые зависят от центра обработки данных своей компании, чтобы обеспечить ценность для бизнеса.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92" w:lineRule="auto" w:before="142"/>
        <w:ind w:left="71" w:right="101"/>
        <w:jc w:val="both"/>
      </w:pPr>
      <w:r>
        <w:rPr>
          <w:color w:val="4D555B"/>
          <w:w w:val="105"/>
        </w:rPr>
        <w:t>Программные приложения StruxureWare для центров обработки данных унифицированы на трех уровнях, чтобы предоставлять нужную информацию нужным пользователям в нужное время: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8" w:val="left" w:leader="none"/>
        </w:tabs>
        <w:spacing w:line="292" w:lineRule="auto" w:before="0" w:after="0"/>
        <w:ind w:left="71" w:right="464" w:firstLine="0"/>
        <w:jc w:val="left"/>
        <w:rPr>
          <w:sz w:val="20"/>
        </w:rPr>
      </w:pPr>
      <w:r>
        <w:rPr>
          <w:b/>
          <w:color w:val="2CB34A"/>
          <w:w w:val="105"/>
          <w:sz w:val="20"/>
        </w:rPr>
        <w:t>Уровень предприятия: </w:t>
      </w:r>
      <w:r>
        <w:rPr>
          <w:color w:val="4D555B"/>
          <w:w w:val="105"/>
          <w:sz w:val="20"/>
        </w:rPr>
        <w:t>Руководители высшего звена могут эффективно управлять своей корпоративной стратегией и стратегией экологической устойчивости, выбирая лучший сценарий, который отвечает их бизнес-задачам, для экономии ресурсов всего предприятия.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8" w:val="left" w:leader="none"/>
        </w:tabs>
        <w:spacing w:line="292" w:lineRule="auto" w:before="0" w:after="0"/>
        <w:ind w:left="71" w:right="233" w:firstLine="0"/>
        <w:jc w:val="both"/>
        <w:rPr>
          <w:sz w:val="20"/>
        </w:rPr>
      </w:pPr>
      <w:r>
        <w:rPr>
          <w:b/>
          <w:color w:val="2CB34A"/>
          <w:w w:val="105"/>
          <w:sz w:val="20"/>
        </w:rPr>
        <w:t>Уровень эксплуатации: </w:t>
      </w:r>
      <w:r>
        <w:rPr>
          <w:color w:val="4D555B"/>
          <w:w w:val="105"/>
          <w:sz w:val="20"/>
        </w:rPr>
        <w:t>Функциональные менеджеры могут оптимизировать операции, энергию и активы с помощью интеллектуальных аналитических инструментов и возможностей планирования, охватывающих несколько сайтов.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8" w:val="left" w:leader="none"/>
        </w:tabs>
        <w:spacing w:line="292" w:lineRule="auto" w:before="0" w:after="0"/>
        <w:ind w:left="71" w:right="166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251663360" from="460.873993pt,65.933083pt" to="460.873993pt,104.144083pt" stroked="true" strokeweight=".656pt" strokecolor="#979ea5">
            <v:stroke dashstyle="solid"/>
            <w10:wrap type="none"/>
          </v:line>
        </w:pict>
      </w:r>
      <w:r>
        <w:rPr>
          <w:b/>
          <w:color w:val="2CB34A"/>
          <w:w w:val="105"/>
          <w:sz w:val="20"/>
        </w:rPr>
        <w:t>Уровень контроля: </w:t>
      </w:r>
      <w:r>
        <w:rPr>
          <w:color w:val="4D555B"/>
          <w:w w:val="105"/>
          <w:sz w:val="20"/>
        </w:rPr>
        <w:t>Эксперты на месте или удаленно могут контролировать производительность процессов и обеспечивать непрерывность бизнеса в режиме реального времени, отслеживая потребление энергии.</w:t>
      </w:r>
    </w:p>
    <w:p>
      <w:pPr>
        <w:spacing w:after="0" w:line="292" w:lineRule="auto"/>
        <w:jc w:val="both"/>
        <w:rPr>
          <w:sz w:val="20"/>
        </w:rPr>
        <w:sectPr>
          <w:type w:val="continuous"/>
          <w:pgSz w:w="12240" w:h="15840"/>
          <w:pgMar w:top="0" w:bottom="280" w:left="640" w:right="420"/>
          <w:cols w:num="2" w:equalWidth="0">
            <w:col w:w="5749" w:space="40"/>
            <w:col w:w="5391"/>
          </w:cols>
        </w:sectPr>
      </w:pPr>
    </w:p>
    <w:p>
      <w:pPr>
        <w:pStyle w:val="BodyText"/>
      </w:pPr>
      <w:r>
        <w:rPr/>
        <w:pict>
          <v:group style="position:absolute;margin-left:-.142pt;margin-top:0pt;width:612.3pt;height:421.35pt;mso-position-horizontal-relative:page;mso-position-vertical-relative:page;z-index:-251842560" coordorigin="-3,0" coordsize="12246,8427">
            <v:shape style="position:absolute;left:0;top:0;width:12240;height:6149" type="#_x0000_t75" stroked="false">
              <v:imagedata r:id="rId5" o:title=""/>
            </v:shape>
            <v:rect style="position:absolute;left:-3;top:4788;width:12246;height:20" filled="true" fillcolor="#2cb34a" stroked="false">
              <v:fill type="solid"/>
            </v:rect>
            <v:rect style="position:absolute;left:-3;top:4808;width:12246;height:1700" filled="true" fillcolor="#2cb34a" stroked="false">
              <v:fill opacity="52428f" type="solid"/>
            </v:rect>
            <v:shape style="position:absolute;left:6955;top:5842;width:4289;height:2584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7017" w:val="left" w:leader="none"/>
          <w:tab w:pos="8808" w:val="left" w:leader="none"/>
        </w:tabs>
        <w:ind w:left="247"/>
      </w:pPr>
      <w:r>
        <w:rPr>
          <w:position w:val="43"/>
        </w:rPr>
        <w:pict>
          <v:group style="width:142.3pt;height:20.1pt;mso-position-horizontal-relative:char;mso-position-vertical-relative:line" coordorigin="0,0" coordsize="2846,402">
            <v:shape style="position:absolute;left:0;top:0;width:2846;height:402" coordorigin="0,0" coordsize="2846,402" path="m2693,0l156,0,156,0,95,17,46,60,12,124,0,201,12,278,46,341,95,384,156,401,156,401,2693,401,2693,401,2753,383,2801,339,2834,277,2846,201,2834,125,2801,62,2753,19,2693,0,2693,0xe" filled="true" fillcolor="#2cb34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2846;height:402" type="#_x0000_t202" filled="false" stroked="false">
              <v:textbox inset="0,0,0,0">
                <w:txbxContent>
                  <w:p>
                    <w:pPr>
                      <w:spacing w:before="90"/>
                      <w:ind w:left="202" w:right="0" w:firstLine="0"/>
                      <w:jc w:val="left"/>
                      <w:rPr>
                        <w:b/>
                        <w:sz w:val="18"/>
                      </w:rPr>
                    </w:pPr>
                    <w:hyperlink r:id="rId7"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www.apc.com/struxureware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position w:val="43"/>
        </w:rPr>
      </w:r>
      <w:r>
        <w:rPr>
          <w:position w:val="43"/>
        </w:rPr>
        <w:tab/>
      </w:r>
      <w:r>
        <w:rPr>
          <w:position w:val="25"/>
        </w:rPr>
        <w:drawing>
          <wp:inline distT="0" distB="0" distL="0" distR="0">
            <wp:extent cx="314460" cy="160305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6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</w:rPr>
      </w:r>
      <w:r>
        <w:rPr>
          <w:rFonts w:ascii="Times New Roman"/>
          <w:spacing w:val="49"/>
          <w:position w:val="25"/>
        </w:rPr>
        <w:t> </w:t>
      </w:r>
      <w:r>
        <w:rPr>
          <w:spacing w:val="49"/>
          <w:position w:val="24"/>
        </w:rPr>
        <w:pict>
          <v:group style="width:10.45pt;height:12.55pt;mso-position-horizontal-relative:char;mso-position-vertical-relative:line" coordorigin="0,0" coordsize="209,251">
            <v:line style="position:absolute" from="13,0" to="13,250" stroked="true" strokeweight="1.264pt" strokecolor="#2cb34a">
              <v:stroke dashstyle="solid"/>
            </v:line>
            <v:shape style="position:absolute;left:58;top:66;width:150;height:184" type="#_x0000_t75" stroked="false">
              <v:imagedata r:id="rId9" o:title=""/>
            </v:shape>
          </v:group>
        </w:pict>
      </w:r>
      <w:r>
        <w:rPr>
          <w:spacing w:val="49"/>
          <w:position w:val="24"/>
        </w:rPr>
      </w:r>
      <w:r>
        <w:rPr>
          <w:rFonts w:ascii="Times New Roman"/>
          <w:spacing w:val="41"/>
          <w:position w:val="24"/>
        </w:rPr>
        <w:t> </w:t>
      </w:r>
      <w:r>
        <w:rPr>
          <w:spacing w:val="41"/>
          <w:position w:val="25"/>
        </w:rPr>
        <w:pict>
          <v:group style="width:21.9pt;height:14.15pt;mso-position-horizontal-relative:char;mso-position-vertical-relative:line" coordorigin="0,0" coordsize="438,283">
            <v:rect style="position:absolute;left:118;top:152;width:21;height:6" filled="true" fillcolor="#2cb34a" stroked="false">
              <v:fill type="solid"/>
            </v:rect>
            <v:line style="position:absolute" from="129,0" to="129,152" stroked="true" strokeweight="1.298156pt" strokecolor="#2cb34a">
              <v:stroke dashstyle="solid"/>
            </v:line>
            <v:shape style="position:absolute;left:288;top:95;width:149;height:184" coordorigin="288,96" coordsize="149,184" path="m303,96l288,96,288,280,303,280,305,279,307,278,308,277,311,274,311,199,311,181,312,166,314,155,318,146,322,136,330,128,335,126,311,126,311,102,308,98,307,98,307,98,305,97,303,96xm422,115l370,115,381,116,391,119,400,124,407,131,413,140,414,152,414,274,418,277,419,278,421,279,423,280,437,280,437,153,437,152,435,140,431,127,423,115,422,115xm372,96l349,99,332,106,320,116,311,126,335,126,349,117,360,115,422,115,415,108,404,102,390,98,372,96xe" filled="true" fillcolor="#2cb34a" stroked="false">
              <v:path arrowok="t"/>
              <v:fill type="solid"/>
            </v:shape>
            <v:shape style="position:absolute;left:0;top:26;width:262;height:257" coordorigin="0,26" coordsize="262,257" path="m94,27l56,45,27,73,7,110,0,152,10,203,38,244,80,272,131,283,181,272,202,259,131,259,89,250,55,227,32,194,24,152,29,119,44,91,66,68,94,52,94,27xm165,26l165,51,194,67,217,90,232,119,237,152,229,194,206,227,172,250,131,259,202,259,223,244,251,203,261,152,254,109,234,72,204,44,165,26xe" filled="true" fillcolor="#2cb34a" stroked="false">
              <v:path arrowok="t"/>
              <v:fill type="solid"/>
            </v:shape>
          </v:group>
        </w:pict>
      </w:r>
      <w:r>
        <w:rPr>
          <w:spacing w:val="41"/>
          <w:position w:val="25"/>
        </w:rPr>
      </w:r>
      <w:r>
        <w:rPr>
          <w:spacing w:val="41"/>
          <w:position w:val="25"/>
        </w:rPr>
        <w:tab/>
      </w:r>
      <w:r>
        <w:rPr>
          <w:spacing w:val="41"/>
        </w:rPr>
        <w:drawing>
          <wp:inline distT="0" distB="0" distL="0" distR="0">
            <wp:extent cx="1215181" cy="357187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18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</w:rPr>
      </w:r>
    </w:p>
    <w:p>
      <w:pPr>
        <w:spacing w:after="0"/>
        <w:sectPr>
          <w:type w:val="continuous"/>
          <w:pgSz w:w="12240" w:h="15840"/>
          <w:pgMar w:top="0" w:bottom="280" w:left="640" w:right="42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before="0"/>
        <w:ind w:left="107" w:right="0" w:firstLine="0"/>
        <w:jc w:val="left"/>
        <w:rPr>
          <w:b/>
          <w:sz w:val="13"/>
        </w:rPr>
      </w:pPr>
      <w:r>
        <w:rPr>
          <w:b/>
          <w:color w:val="4D555B"/>
          <w:w w:val="105"/>
          <w:sz w:val="13"/>
        </w:rPr>
        <w:t>StruxureWare для центров обработки данных</w:t>
      </w:r>
    </w:p>
    <w:p>
      <w:pPr>
        <w:spacing w:before="89"/>
        <w:ind w:left="107" w:right="0" w:firstLine="0"/>
        <w:jc w:val="left"/>
        <w:rPr>
          <w:b/>
          <w:sz w:val="17"/>
        </w:rPr>
      </w:pPr>
      <w:r>
        <w:rPr/>
        <w:br w:type="column"/>
      </w:r>
      <w:hyperlink r:id="rId7">
        <w:r>
          <w:rPr>
            <w:b/>
            <w:color w:val="4D555B"/>
            <w:w w:val="105"/>
            <w:sz w:val="13"/>
          </w:rPr>
          <w:t>www.apc.com/struxureware</w:t>
        </w:r>
      </w:hyperlink>
      <w:r>
        <w:rPr>
          <w:b/>
          <w:color w:val="4D555B"/>
          <w:w w:val="105"/>
          <w:sz w:val="13"/>
        </w:rPr>
        <w:t> </w:t>
      </w:r>
      <w:r>
        <w:rPr>
          <w:b/>
          <w:color w:val="2CB34A"/>
          <w:w w:val="105"/>
          <w:sz w:val="17"/>
        </w:rPr>
        <w:t>2</w:t>
      </w:r>
    </w:p>
    <w:p>
      <w:pPr>
        <w:spacing w:after="0"/>
        <w:jc w:val="left"/>
        <w:rPr>
          <w:sz w:val="17"/>
        </w:rPr>
        <w:sectPr>
          <w:pgSz w:w="12240" w:h="15840"/>
          <w:pgMar w:top="260" w:bottom="280" w:left="640" w:right="420"/>
          <w:cols w:num="2" w:equalWidth="0">
            <w:col w:w="2081" w:space="6447"/>
            <w:col w:w="2652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.344pt;margin-top:665.054993pt;width:611.7pt;height:79.55pt;mso-position-horizontal-relative:page;mso-position-vertical-relative:page;z-index:-251840512" coordorigin="7,13301" coordsize="12234,1591">
            <v:rect style="position:absolute;left:6;top:13301;width:12234;height:1591" filled="true" fillcolor="#979ea5" stroked="false">
              <v:fill type="solid"/>
            </v:rect>
            <v:shape style="position:absolute;left:7667;top:13983;width:492;height:251" type="#_x0000_t75" stroked="false">
              <v:imagedata r:id="rId11" o:title=""/>
            </v:shape>
            <v:line style="position:absolute" from="8275,13984" to="8275,14234" stroked="true" strokeweight="1.264pt" strokecolor="#ffffff">
              <v:stroke dashstyle="solid"/>
            </v:line>
            <v:rect style="position:absolute;left:8677;top:14106;width:21;height:6" filled="true" fillcolor="#ffffff" stroked="false">
              <v:fill type="solid"/>
            </v:rect>
            <v:line style="position:absolute" from="8687,13954" to="8687,14106" stroked="true" strokeweight="1.298156pt" strokecolor="#ffffff">
              <v:stroke dashstyle="solid"/>
            </v:line>
            <v:shape style="position:absolute;left:8321;top:14050;width:150;height:184" type="#_x0000_t75" stroked="false">
              <v:imagedata r:id="rId12" o:title=""/>
            </v:shape>
            <v:shape style="position:absolute;left:8558;top:13980;width:438;height:257" coordorigin="8558,13980" coordsize="438,257" path="m8820,14106l8812,14063,8792,14027,8762,13998,8724,13980,8724,14005,8753,14021,8775,14044,8790,14073,8796,14106,8787,14148,8764,14182,8731,14205,8689,14213,8648,14205,8614,14182,8591,14148,8582,14106,8588,14073,8602,14045,8624,14022,8652,14006,8652,13981,8615,13999,8585,14028,8565,14064,8558,14106,8569,14157,8597,14199,8638,14227,8689,14237,8740,14227,8760,14213,8781,14199,8809,14157,8820,14106m8996,14234l8995,14108,8995,14106,8994,14094,8989,14081,8981,14069,8981,14069,8974,14063,8963,14057,8949,14052,8931,14051,8908,14053,8891,14061,8879,14070,8870,14080,8870,14056,8866,14053,8865,14052,8865,14052,8863,14051,8861,14050,8847,14050,8847,14234,8861,14234,8863,14233,8865,14232,8866,14232,8870,14228,8870,14154,8870,14135,8871,14120,8873,14109,8876,14100,8881,14091,8889,14083,8893,14080,8908,14072,8918,14069,8929,14069,8940,14070,8950,14073,8958,14078,8965,14085,8972,14094,8973,14106,8973,14228,8976,14232,8977,14232,8979,14233,8981,14234,8996,14234e" filled="true" fillcolor="#ffffff" stroked="false">
              <v:path arrowok="t"/>
              <v:fill type="solid"/>
            </v:shape>
            <v:shape style="position:absolute;left:9457;top:13925;width:1905;height:560" type="#_x0000_t75" stroked="false">
              <v:imagedata r:id="rId13" o:title=""/>
            </v:shape>
            <v:line style="position:absolute" from="9227,13732" to="9227,14497" stroked="true" strokeweight=".656pt" strokecolor="#ffffff">
              <v:stroke dashstyle="solid"/>
            </v:line>
            <w10:wrap type="none"/>
          </v:group>
        </w:pict>
      </w:r>
      <w:r>
        <w:rPr/>
        <w:pict>
          <v:rect style="position:absolute;margin-left:-.142pt;margin-top:32.832001pt;width:612.283pt;height:66.614pt;mso-position-horizontal-relative:page;mso-position-vertical-relative:page;z-index:-251839488" filled="true" fillcolor="#2cb34a" stroked="false">
            <v:fill type="solid"/>
            <w10:wrap type="none"/>
          </v:rect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47"/>
        <w:ind w:left="107" w:right="0" w:firstLine="0"/>
        <w:jc w:val="left"/>
        <w:rPr>
          <w:b/>
          <w:sz w:val="28"/>
        </w:rPr>
      </w:pPr>
      <w:r>
        <w:rPr>
          <w:b/>
          <w:color w:val="FFFFFF"/>
          <w:w w:val="105"/>
          <w:sz w:val="28"/>
        </w:rPr>
        <w:t>StruxureWare для центров обработки данных</w:t>
      </w:r>
    </w:p>
    <w:p>
      <w:pPr>
        <w:spacing w:before="285"/>
        <w:ind w:left="316" w:right="0" w:firstLine="0"/>
        <w:jc w:val="left"/>
        <w:rPr>
          <w:b/>
          <w:sz w:val="26"/>
        </w:rPr>
      </w:pPr>
      <w:r>
        <w:rPr>
          <w:b/>
          <w:color w:val="2CB34A"/>
          <w:w w:val="105"/>
          <w:sz w:val="26"/>
        </w:rPr>
        <w:t>Подробнее о StruxureWare для центров обработки данных</w:t>
      </w:r>
    </w:p>
    <w:p>
      <w:pPr>
        <w:pStyle w:val="BodyText"/>
        <w:spacing w:line="292" w:lineRule="auto" w:before="158"/>
        <w:ind w:left="316" w:right="650"/>
      </w:pPr>
      <w:r>
        <w:rPr>
          <w:color w:val="4D555B"/>
          <w:w w:val="105"/>
        </w:rPr>
        <w:t>Пакеты StruxureWare удовлетворяют уникальные потребности бизнеса в зданиях, промышленных предприятиях и центрах обработки данных. Каждый целевой пакет обеспечивает бесшовную интеграцию со сторонними предложениями и устаревшими системами, а также масштабируемую платформу и согласованный пользовательский интерфейс.</w:t>
      </w:r>
    </w:p>
    <w:p>
      <w:pPr>
        <w:pStyle w:val="BodyText"/>
        <w:spacing w:line="292" w:lineRule="auto" w:before="138"/>
        <w:ind w:left="316" w:right="321"/>
      </w:pPr>
      <w:r>
        <w:rPr>
          <w:color w:val="4D555B"/>
          <w:w w:val="105"/>
        </w:rPr>
        <w:t>Программное обеспечение StruxureWare для центров обработки данных, являющееся частью этого более крупного семейства StruxureWare, включает в себя приложения, которые предоставляют полезную информацию для опытных пользователей, объектов и ИТ-специалистов, необходимых для поддержания работы центра обработки данных с идеальным балансом высокой доступности и оптимальной эффективности. В частности, он включает в себя следующие приложения: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499" w:right="0" w:firstLine="0"/>
        <w:jc w:val="left"/>
        <w:rPr>
          <w:b/>
          <w:sz w:val="25"/>
        </w:rPr>
      </w:pPr>
      <w:r>
        <w:rPr/>
        <w:pict>
          <v:group style="position:absolute;margin-left:47.354301pt;margin-top:-5.135961pt;width:527.85pt;height:431.8pt;mso-position-horizontal-relative:page;mso-position-vertical-relative:paragraph;z-index:-251838464" coordorigin="947,-103" coordsize="10557,8636">
            <v:shape style="position:absolute;left:947;top:-103;width:10557;height:8636" coordorigin="947,-103" coordsize="10557,8636" path="m11302,-103l1149,-103,1032,-100,972,-78,950,-18,947,99,947,8331,950,8448,972,8507,1032,8530,1149,8533,11302,8533,11419,8530,11479,8507,11501,8448,11504,8331,11504,99,11501,-18,11479,-78,11419,-100,11302,-103xe" filled="true" fillcolor="#e9e9e9" stroked="false">
              <v:path arrowok="t"/>
              <v:fill type="solid"/>
            </v:shape>
            <v:shape style="position:absolute;left:1285;top:423;width:1607;height:1853" type="#_x0000_t75" stroked="false">
              <v:imagedata r:id="rId14" o:title=""/>
            </v:shape>
            <v:rect style="position:absolute;left:1283;top:419;width:1610;height:1857" filled="false" stroked="true" strokeweight="1pt" strokecolor="#4d555b">
              <v:stroke dashstyle="solid"/>
            </v:rect>
            <v:shape style="position:absolute;left:9216;top:1287;width:1998;height:1641" type="#_x0000_t75" stroked="false">
              <v:imagedata r:id="rId15" o:title=""/>
            </v:shape>
            <v:rect style="position:absolute;left:9216;top:1287;width:2002;height:1645" filled="false" stroked="true" strokeweight="1pt" strokecolor="#4d555b">
              <v:stroke dashstyle="solid"/>
            </v:rect>
            <v:shape style="position:absolute;left:9218;top:3026;width:1998;height:1645" type="#_x0000_t75" stroked="false">
              <v:imagedata r:id="rId16" o:title=""/>
            </v:shape>
            <v:rect style="position:absolute;left:9216;top:3026;width:2002;height:1645" filled="false" stroked="true" strokeweight="1pt" strokecolor="#4d555b">
              <v:stroke dashstyle="solid"/>
            </v:rect>
            <v:shape style="position:absolute;left:1225;top:4132;width:2002;height:1645" type="#_x0000_t75" stroked="false">
              <v:imagedata r:id="rId17" o:title=""/>
            </v:shape>
            <v:rect style="position:absolute;left:1225;top:4132;width:2002;height:1645" filled="false" stroked="true" strokeweight="1.0pt" strokecolor="#4d555b">
              <v:stroke dashstyle="solid"/>
            </v:rect>
            <v:shape style="position:absolute;left:1225;top:6592;width:2002;height:1645" type="#_x0000_t75" stroked="false">
              <v:imagedata r:id="rId18" o:title=""/>
            </v:shape>
            <v:rect style="position:absolute;left:1225;top:6592;width:2002;height:1645" filled="false" stroked="true" strokeweight="1.0pt" strokecolor="#4d555b">
              <v:stroke dashstyle="solid"/>
            </v:rect>
            <v:shape style="position:absolute;left:9280;top:5356;width:1998;height:1637" type="#_x0000_t75" stroked="false">
              <v:imagedata r:id="rId19" o:title=""/>
            </v:shape>
            <v:rect style="position:absolute;left:9276;top:5352;width:2002;height:1641" filled="false" stroked="true" strokeweight="1pt" strokecolor="#4d555b">
              <v:stroke dashstyle="solid"/>
            </v:rect>
            <w10:wrap type="none"/>
          </v:group>
        </w:pict>
      </w:r>
      <w:r>
        <w:rPr>
          <w:b/>
          <w:color w:val="2CB34A"/>
          <w:w w:val="105"/>
          <w:sz w:val="25"/>
        </w:rPr>
        <w:t>StruxureWare для центров обработки данных</w:t>
      </w:r>
    </w:p>
    <w:p>
      <w:pPr>
        <w:spacing w:before="137"/>
        <w:ind w:left="2470" w:right="0" w:firstLine="0"/>
        <w:jc w:val="left"/>
        <w:rPr>
          <w:sz w:val="19"/>
        </w:rPr>
      </w:pPr>
      <w:r>
        <w:rPr>
          <w:color w:val="2CB34A"/>
          <w:w w:val="105"/>
          <w:sz w:val="19"/>
        </w:rPr>
        <w:t>&lt;Советник по ресурсам</w:t>
      </w:r>
    </w:p>
    <w:p>
      <w:pPr>
        <w:spacing w:line="297" w:lineRule="auto" w:before="53"/>
        <w:ind w:left="2470" w:right="913" w:firstLine="0"/>
        <w:jc w:val="left"/>
        <w:rPr>
          <w:sz w:val="19"/>
        </w:rPr>
      </w:pPr>
      <w:r>
        <w:rPr>
          <w:color w:val="4D555B"/>
          <w:w w:val="105"/>
          <w:sz w:val="19"/>
        </w:rPr>
        <w:t>Служба энергоснабжения и устойчивого развития предприятий. Эта комплексная платформа «программное обеспечение как услуга» (SaaS) обеспечивает легкий доступ к данным и отчетам о ресурсах в масштабах всего предприятия, а также к другим ресурсам, пригодным для аудита.</w:t>
      </w:r>
    </w:p>
    <w:p>
      <w:pPr>
        <w:spacing w:line="297" w:lineRule="auto" w:before="68"/>
        <w:ind w:left="2423" w:right="2736" w:firstLine="3826"/>
        <w:jc w:val="right"/>
        <w:rPr>
          <w:sz w:val="19"/>
        </w:rPr>
      </w:pPr>
      <w:r>
        <w:rPr>
          <w:color w:val="00AEEF"/>
          <w:w w:val="105"/>
          <w:sz w:val="19"/>
        </w:rPr>
        <w:t>Работа центра обработки данных&gt; </w:t>
      </w:r>
      <w:r>
        <w:rPr>
          <w:color w:val="4D555B"/>
          <w:w w:val="105"/>
          <w:sz w:val="19"/>
        </w:rPr>
        <w:t>Принимайте обоснованные решения для центров обработки данных. Обменивается данными с системами управления зданием, предприятием и сетью для анализа,</w:t>
      </w:r>
    </w:p>
    <w:p>
      <w:pPr>
        <w:spacing w:line="297" w:lineRule="auto" w:before="2"/>
        <w:ind w:left="1287" w:right="2736" w:firstLine="119"/>
        <w:jc w:val="right"/>
        <w:rPr>
          <w:sz w:val="19"/>
        </w:rPr>
      </w:pPr>
      <w:r>
        <w:rPr>
          <w:color w:val="4D555B"/>
          <w:w w:val="110"/>
          <w:sz w:val="19"/>
        </w:rPr>
        <w:t>оптимизировать и эффективно управлять мощностями центра обработки данных, улучшая планирование и предоставление оборудования и ресурсов центра обработки данных - экономия энергии и затрат</w:t>
      </w:r>
    </w:p>
    <w:p>
      <w:pPr>
        <w:spacing w:line="297" w:lineRule="auto" w:before="83"/>
        <w:ind w:left="621" w:right="2736" w:firstLine="4318"/>
        <w:jc w:val="right"/>
        <w:rPr>
          <w:sz w:val="19"/>
        </w:rPr>
      </w:pPr>
      <w:r>
        <w:rPr>
          <w:color w:val="00AEEF"/>
          <w:w w:val="105"/>
          <w:sz w:val="19"/>
        </w:rPr>
        <w:t>Работа центра обработки данных для совместного размещения&gt; </w:t>
      </w:r>
      <w:r>
        <w:rPr>
          <w:color w:val="4D555B"/>
          <w:w w:val="105"/>
          <w:sz w:val="19"/>
        </w:rPr>
        <w:t>Экономичное управление объектами размещения. Преобразует способ работы многопользовательских провайдеров за счет активного управления активами и пространством ящиков и оптимизации мощностей центров обработки данных и бизнес-процессов, высвобождая драгоценное время для развития бизнеса</w:t>
      </w:r>
    </w:p>
    <w:p>
      <w:pPr>
        <w:spacing w:before="105"/>
        <w:ind w:left="2773" w:right="0" w:firstLine="0"/>
        <w:jc w:val="left"/>
        <w:rPr>
          <w:sz w:val="19"/>
        </w:rPr>
      </w:pPr>
      <w:r>
        <w:rPr>
          <w:color w:val="00AEEF"/>
          <w:w w:val="105"/>
          <w:sz w:val="19"/>
        </w:rPr>
        <w:t>&lt;Строительство</w:t>
      </w:r>
    </w:p>
    <w:p>
      <w:pPr>
        <w:spacing w:line="297" w:lineRule="auto" w:before="53"/>
        <w:ind w:left="2773" w:right="2449" w:firstLine="0"/>
        <w:jc w:val="left"/>
        <w:rPr>
          <w:sz w:val="19"/>
        </w:rPr>
      </w:pPr>
      <w:r>
        <w:rPr>
          <w:color w:val="4D555B"/>
          <w:w w:val="105"/>
          <w:sz w:val="19"/>
        </w:rPr>
        <w:t>Взгляните за пределы ИТ-сферы. Интеллектуальное управление системами вашего здания в одной сети - по всему предприятию для</w:t>
      </w:r>
    </w:p>
    <w:p>
      <w:pPr>
        <w:tabs>
          <w:tab w:pos="6595" w:val="left" w:leader="none"/>
        </w:tabs>
        <w:spacing w:line="292" w:lineRule="auto" w:before="2"/>
        <w:ind w:left="2773" w:right="1069" w:firstLine="0"/>
        <w:jc w:val="left"/>
        <w:rPr>
          <w:sz w:val="19"/>
        </w:rPr>
      </w:pPr>
      <w:r>
        <w:rPr>
          <w:color w:val="4D555B"/>
          <w:w w:val="105"/>
          <w:sz w:val="19"/>
        </w:rPr>
        <w:t>интегрированный мониторинг, контроль и управление энергоснабжением, освещением, пожарной безопасностью и </w:t>
      </w:r>
      <w:r>
        <w:rPr>
          <w:color w:val="4D555B"/>
          <w:spacing w:val="-5"/>
          <w:w w:val="105"/>
          <w:position w:val="11"/>
          <w:sz w:val="19"/>
        </w:rPr>
        <w:t>HVAC.</w:t>
        <w:tab/>
      </w:r>
      <w:r>
        <w:rPr>
          <w:color w:val="C02555"/>
          <w:w w:val="105"/>
          <w:sz w:val="19"/>
        </w:rPr>
        <w:t>Эксперт центра обработки данных&gt;</w:t>
      </w:r>
    </w:p>
    <w:p>
      <w:pPr>
        <w:spacing w:line="297" w:lineRule="auto" w:before="6"/>
        <w:ind w:left="2762" w:right="2687" w:firstLine="320"/>
        <w:jc w:val="right"/>
        <w:rPr>
          <w:sz w:val="19"/>
        </w:rPr>
      </w:pPr>
      <w:r>
        <w:rPr>
          <w:color w:val="4D555B"/>
          <w:w w:val="105"/>
          <w:sz w:val="19"/>
        </w:rPr>
        <w:t>Активно защищайте время безотказной работы системы. Централизованный мониторинг, управление и контроль устройств физической инфраструктуры от широкого круга производителей. Мгновенное уведомление о неисправностях и эскалация позволяют быстро разрешать критические события инфраструктуры</w:t>
      </w:r>
    </w:p>
    <w:p>
      <w:pPr>
        <w:spacing w:before="98"/>
        <w:ind w:left="2737" w:right="0" w:firstLine="0"/>
        <w:jc w:val="left"/>
        <w:rPr>
          <w:sz w:val="19"/>
        </w:rPr>
      </w:pPr>
      <w:r>
        <w:rPr>
          <w:color w:val="C02555"/>
          <w:w w:val="105"/>
          <w:sz w:val="19"/>
        </w:rPr>
        <w:t>&lt;Эксперт по мониторингу мощности</w:t>
      </w:r>
    </w:p>
    <w:p>
      <w:pPr>
        <w:spacing w:line="297" w:lineRule="auto" w:before="53"/>
        <w:ind w:left="2737" w:right="913" w:firstLine="0"/>
        <w:jc w:val="left"/>
        <w:rPr>
          <w:sz w:val="19"/>
        </w:rPr>
      </w:pPr>
      <w:r>
        <w:rPr>
          <w:color w:val="4D555B"/>
          <w:w w:val="105"/>
          <w:sz w:val="19"/>
        </w:rPr>
        <w:t>Расширенный мониторинг мощности и анализ качества электроэнергии. Специализированная система управления питанием, которая обеспечивает интеллектуальную систему питания для всего вашего центра обработки данных. Он обеспечивает обмен необходимой информацией и взаимодействие между пользователями при одновременном контроле затрат.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before="101"/>
        <w:ind w:left="116" w:right="0" w:firstLine="0"/>
        <w:jc w:val="left"/>
        <w:rPr>
          <w:b/>
          <w:sz w:val="16"/>
        </w:rPr>
      </w:pPr>
      <w:r>
        <w:rPr>
          <w:b/>
          <w:color w:val="4D555B"/>
          <w:w w:val="105"/>
          <w:sz w:val="16"/>
        </w:rPr>
        <w:t>© 2016 Schneider Electric. Все права защищены.</w:t>
      </w:r>
    </w:p>
    <w:sectPr>
      <w:type w:val="continuous"/>
      <w:pgSz w:w="12240" w:h="15840"/>
      <w:pgMar w:top="0" w:bottom="280" w:left="6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71" w:hanging="176"/>
      </w:pPr>
      <w:rPr>
        <w:rFonts w:hint="default" w:ascii="Arial" w:hAnsi="Arial" w:eastAsia="Arial" w:cs="Arial"/>
        <w:b/>
        <w:bCs/>
        <w:color w:val="2CB34A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1" w:hanging="17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42" w:hanging="17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673" w:hanging="17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204" w:hanging="17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735" w:hanging="17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267" w:hanging="17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798" w:hanging="17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29" w:hanging="17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71" w:right="166"/>
      <w:jc w:val="both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apc.com/struxureware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2021-01-15T05:49:42Z</dcterms:created>
  <dcterms:modified xsi:type="dcterms:W3CDTF">2021-01-15T05:49:42Z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2016-01-26T00:00:00Z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2021-01-15T00:00:00Z</vt:filetime>
  </property>
</Properties>
</file>