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D2205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"http://garant.mipcnet.org/docu</w:instrText>
      </w:r>
      <w:r>
        <w:rPr>
          <w:sz w:val="26"/>
          <w:szCs w:val="26"/>
        </w:rPr>
        <w:instrText>ment?id=12051437&amp;sub=0"</w:instrText>
      </w:r>
      <w:r w:rsidR="008D7D4A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Постановление Пленума Высшего Арбитражного Суда РФ от 20 декабря 2006 г. N 66</w:t>
      </w:r>
      <w:r>
        <w:rPr>
          <w:rStyle w:val="a4"/>
          <w:sz w:val="26"/>
          <w:szCs w:val="26"/>
        </w:rPr>
        <w:br/>
        <w:t>"О некоторых вопросах практики применения арбитражными судами законодательства об экспертизе"</w:t>
      </w:r>
      <w:r>
        <w:rPr>
          <w:sz w:val="26"/>
          <w:szCs w:val="26"/>
        </w:rPr>
        <w:fldChar w:fldCharType="end"/>
      </w:r>
    </w:p>
    <w:p w:rsidR="00000000" w:rsidRDefault="002D2205">
      <w:pPr>
        <w:ind w:firstLine="720"/>
        <w:jc w:val="both"/>
      </w:pPr>
    </w:p>
    <w:p w:rsidR="00000000" w:rsidRDefault="002D220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D2205">
      <w:pPr>
        <w:pStyle w:val="afa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4" w:history="1">
        <w:r>
          <w:rPr>
            <w:rStyle w:val="a4"/>
            <w:sz w:val="26"/>
            <w:szCs w:val="26"/>
          </w:rPr>
          <w:t>комментарий</w:t>
        </w:r>
      </w:hyperlink>
      <w:r>
        <w:rPr>
          <w:sz w:val="26"/>
          <w:szCs w:val="26"/>
        </w:rPr>
        <w:t xml:space="preserve"> к настоящему постановлению</w:t>
      </w:r>
    </w:p>
    <w:p w:rsidR="00000000" w:rsidRDefault="002D2205">
      <w:pPr>
        <w:pStyle w:val="afa"/>
        <w:rPr>
          <w:sz w:val="26"/>
          <w:szCs w:val="26"/>
        </w:rPr>
      </w:pPr>
    </w:p>
    <w:p w:rsidR="00000000" w:rsidRDefault="002D2205">
      <w:pPr>
        <w:ind w:firstLine="720"/>
        <w:jc w:val="both"/>
      </w:pPr>
      <w:r>
        <w:t xml:space="preserve">В целях обеспечения единообразия применения арбитражными судами законодательства об экспертизе Пленум Высшего Арбитражного Суда Российской Федерации на основании </w:t>
      </w:r>
      <w:hyperlink r:id="rId5" w:history="1">
        <w:r>
          <w:rPr>
            <w:rStyle w:val="a4"/>
          </w:rPr>
          <w:t>статьи 13</w:t>
        </w:r>
      </w:hyperlink>
      <w:r>
        <w:t xml:space="preserve"> Федерального конституционного закона "Об арбитражных судах в Российской Федерации" постановляет дать арбитражным судам следующие разъяснения.</w:t>
      </w:r>
    </w:p>
    <w:p w:rsidR="00000000" w:rsidRDefault="002D2205">
      <w:pPr>
        <w:ind w:firstLine="720"/>
        <w:jc w:val="both"/>
      </w:pPr>
      <w:bookmarkStart w:id="1" w:name="sub_1"/>
      <w:r>
        <w:t xml:space="preserve">1. Согласно </w:t>
      </w:r>
      <w:hyperlink r:id="rId6" w:history="1">
        <w:r>
          <w:rPr>
            <w:rStyle w:val="a4"/>
          </w:rPr>
          <w:t>части 1 статьи 83</w:t>
        </w:r>
      </w:hyperlink>
      <w:r>
        <w:t xml:space="preserve"> Арбитражного процессуального кодекса Российской Федерации (далее - АПК РФ, Кодекс) экспертиза проводится государственными судебными экспертами по поручению руководителя государственного судебно-экспе</w:t>
      </w:r>
      <w:r>
        <w:t>ртного учреждения и иными экспертами из числа лиц, обладающих специальными знаниями.</w:t>
      </w:r>
    </w:p>
    <w:bookmarkEnd w:id="1"/>
    <w:p w:rsidR="00000000" w:rsidRDefault="002D2205">
      <w:pPr>
        <w:ind w:firstLine="720"/>
        <w:jc w:val="both"/>
      </w:pPr>
      <w:r>
        <w:t xml:space="preserve">Как следует из </w:t>
      </w:r>
      <w:hyperlink r:id="rId7" w:history="1">
        <w:r>
          <w:rPr>
            <w:rStyle w:val="a4"/>
          </w:rPr>
          <w:t>статьи 16</w:t>
        </w:r>
      </w:hyperlink>
      <w:r>
        <w:t xml:space="preserve"> Федерального закона от 31.05.2001 N 73-ФЗ "О государственной судебно-эк</w:t>
      </w:r>
      <w:r>
        <w:t>спертной деятельности в Российской Федерации" (далее - Закон об экспертной деятельности), государственный судебный эксперт не вправе принимать поручения о производстве судебной экспертизы непосредственно от каких-либо органов или лиц, за исключением руково</w:t>
      </w:r>
      <w:r>
        <w:t>дителя государственного судебно-экспертного учреждения, а также осуществлять судебно-экспертную деятельность в качестве негосударственного эксперта.</w:t>
      </w:r>
    </w:p>
    <w:p w:rsidR="00000000" w:rsidRDefault="002D2205">
      <w:pPr>
        <w:ind w:firstLine="720"/>
        <w:jc w:val="both"/>
      </w:pPr>
      <w:r>
        <w:t>При вынесении определения о назначении экспертизы суд должен руководствоваться как требованиями названных з</w:t>
      </w:r>
      <w:r>
        <w:t xml:space="preserve">аконов, так и положениями </w:t>
      </w:r>
      <w:hyperlink r:id="rId8" w:history="1">
        <w:r>
          <w:rPr>
            <w:rStyle w:val="a4"/>
          </w:rPr>
          <w:t>АПК</w:t>
        </w:r>
      </w:hyperlink>
      <w:r>
        <w:t xml:space="preserve"> РФ об обеспечении процессуальных прав лиц, участвующих в деле. Соответственно, если экспертиза подлежит проведению в государственном судебно-экспертном учре</w:t>
      </w:r>
      <w:r>
        <w:t>ждении, суд в целях обеспечения реализации участвующими в деле лицами их права на отвод эксперта (</w:t>
      </w:r>
      <w:hyperlink r:id="rId9" w:history="1">
        <w:r>
          <w:rPr>
            <w:rStyle w:val="a4"/>
          </w:rPr>
          <w:t>статья 23</w:t>
        </w:r>
      </w:hyperlink>
      <w:r>
        <w:t xml:space="preserve"> АПК РФ), а также права заявить ходатайство о привлечении в качестве экспертов ук</w:t>
      </w:r>
      <w:r>
        <w:t>азанных ими лиц (</w:t>
      </w:r>
      <w:hyperlink r:id="rId10" w:history="1">
        <w:r>
          <w:rPr>
            <w:rStyle w:val="a4"/>
          </w:rPr>
          <w:t>часть 3 статьи 82</w:t>
        </w:r>
      </w:hyperlink>
      <w:r>
        <w:t xml:space="preserve"> АПК РФ) в определении о назначении экспертизы указывает помимо наименования учреждения также фамилию, имя, отчество государственного судебного эксперта</w:t>
      </w:r>
      <w:r>
        <w:t>, которому руководителем государственного судебно-экспертного учреждения будет поручено проведение экспертизы.</w:t>
      </w:r>
    </w:p>
    <w:p w:rsidR="00000000" w:rsidRDefault="002D2205">
      <w:pPr>
        <w:ind w:firstLine="720"/>
        <w:jc w:val="both"/>
      </w:pPr>
      <w:bookmarkStart w:id="2" w:name="sub_2"/>
      <w:r>
        <w:t>2. Экспертиза может проводиться как в государственном судебно-экспертном учреждении, так и в негосударственной экспертной организации либо к</w:t>
      </w:r>
      <w:r>
        <w:t xml:space="preserve"> экспертизе могут привлекаться лица, обладающие специальными знаниями.</w:t>
      </w:r>
    </w:p>
    <w:p w:rsidR="00000000" w:rsidRDefault="002D2205">
      <w:pPr>
        <w:ind w:firstLine="720"/>
        <w:jc w:val="both"/>
      </w:pPr>
      <w:bookmarkStart w:id="3" w:name="sub_202"/>
      <w:bookmarkEnd w:id="2"/>
      <w:r>
        <w:t>Заключение эксперта негосударственной экспертной организации не может быть оспорено только в силу того, что проведение соответствующей экспертизы могло быть поручено государ</w:t>
      </w:r>
      <w:r>
        <w:t>ственному судебно-экспертному учреждению.</w:t>
      </w:r>
    </w:p>
    <w:p w:rsidR="00000000" w:rsidRDefault="002D2205">
      <w:pPr>
        <w:ind w:firstLine="720"/>
        <w:jc w:val="both"/>
      </w:pPr>
      <w:bookmarkStart w:id="4" w:name="sub_3"/>
      <w:bookmarkEnd w:id="3"/>
      <w:r>
        <w:t>3. При поручении проведения экспертизы лицу, не являющемуся государственным судебным экспертом, в определении о назначении экспертизы указываются фамилия, имя, отчество эксперта, сведения о его образова</w:t>
      </w:r>
      <w:r>
        <w:t xml:space="preserve">нии, </w:t>
      </w:r>
      <w:r>
        <w:lastRenderedPageBreak/>
        <w:t>специальности, стаже работы и занимаемой должности.</w:t>
      </w:r>
    </w:p>
    <w:p w:rsidR="00000000" w:rsidRDefault="002D2205">
      <w:pPr>
        <w:ind w:firstLine="720"/>
        <w:jc w:val="both"/>
      </w:pPr>
      <w:bookmarkStart w:id="5" w:name="sub_301"/>
      <w:bookmarkEnd w:id="4"/>
      <w:r>
        <w:t>В случае проведения экспертизы в негосударственной экспертной организации судом выясняются перечисленные в первом абзаце настоящего пункта сведения, касающиеся профессиональных данных экс</w:t>
      </w:r>
      <w:r>
        <w:t>перта, в определении о назначении экспертизы указываются наименование негосударственной экспертной организации, а также фамилия, имя, отчество эксперта.</w:t>
      </w:r>
    </w:p>
    <w:p w:rsidR="00000000" w:rsidRDefault="002D2205">
      <w:pPr>
        <w:ind w:firstLine="720"/>
        <w:jc w:val="both"/>
      </w:pPr>
      <w:bookmarkStart w:id="6" w:name="sub_4"/>
      <w:bookmarkEnd w:id="5"/>
      <w:r>
        <w:t xml:space="preserve">4. В соответствии с положениями </w:t>
      </w:r>
      <w:hyperlink r:id="rId11" w:history="1">
        <w:r>
          <w:rPr>
            <w:rStyle w:val="a4"/>
          </w:rPr>
          <w:t>части 4 статьи 82</w:t>
        </w:r>
      </w:hyperlink>
      <w:r>
        <w:t xml:space="preserve">, </w:t>
      </w:r>
      <w:hyperlink r:id="rId12" w:history="1">
        <w:r>
          <w:rPr>
            <w:rStyle w:val="a4"/>
          </w:rPr>
          <w:t>части 2 статьи 107</w:t>
        </w:r>
      </w:hyperlink>
      <w:r>
        <w:t xml:space="preserve"> Кодекса в определении о назначении экспертизы должны быть решены вопросы о сроке ее проведения, о размере вознаграждения эксперту (экспе</w:t>
      </w:r>
      <w:r>
        <w:t>ртному учреждению, организации), определяемом судом по согласованию с участвующими в деле лицами и по соглашению с экспертом (экспертным учреждением, организацией), указаны фамилия, имя, отчество эксперта.</w:t>
      </w:r>
    </w:p>
    <w:bookmarkEnd w:id="6"/>
    <w:p w:rsidR="00000000" w:rsidRDefault="002D2205">
      <w:pPr>
        <w:ind w:firstLine="720"/>
        <w:jc w:val="both"/>
      </w:pPr>
      <w:r>
        <w:t>Если необходимость в решении названных вопрос</w:t>
      </w:r>
      <w:r>
        <w:t xml:space="preserve">ов возникла при подготовке дела к рассмотрению и для этого требуется дополнительное время, арбитражный суд в силу </w:t>
      </w:r>
      <w:hyperlink r:id="rId13" w:history="1">
        <w:r>
          <w:rPr>
            <w:rStyle w:val="a4"/>
          </w:rPr>
          <w:t>статьи 136</w:t>
        </w:r>
      </w:hyperlink>
      <w:r>
        <w:t xml:space="preserve"> АПК РФ может воспользоваться правом на объявление в предвари</w:t>
      </w:r>
      <w:r>
        <w:t xml:space="preserve">тельном судебном заседании перерыва на срок до пяти дней. Если необходимость в установлении указанных данных возникла в ходе судебного разбирательства, арбитражный суд может отложить судебное разбирательство на основании </w:t>
      </w:r>
      <w:hyperlink r:id="rId14" w:history="1">
        <w:r>
          <w:rPr>
            <w:rStyle w:val="a4"/>
          </w:rPr>
          <w:t>статьи 158</w:t>
        </w:r>
      </w:hyperlink>
      <w:r>
        <w:t xml:space="preserve"> АПК РФ или объявить перерыв в судебном заседании в соответствии со </w:t>
      </w:r>
      <w:hyperlink r:id="rId15" w:history="1">
        <w:r>
          <w:rPr>
            <w:rStyle w:val="a4"/>
          </w:rPr>
          <w:t>статьей 163</w:t>
        </w:r>
      </w:hyperlink>
      <w:r>
        <w:t xml:space="preserve"> Кодекса.</w:t>
      </w:r>
    </w:p>
    <w:p w:rsidR="00000000" w:rsidRDefault="002D2205">
      <w:pPr>
        <w:ind w:firstLine="720"/>
        <w:jc w:val="both"/>
      </w:pPr>
      <w:r>
        <w:t>Для получения информации о возможности проведения эксп</w:t>
      </w:r>
      <w:r>
        <w:t>ертизы, ее стоимости и сроках проведения от лица, обладающего специальными знаниями, а при поручении проведения экспертизы экспертному учреждению (организации) - также и об экспертах, которым она может быть поручена, суд направляет указанному лицу (эксперт</w:t>
      </w:r>
      <w:r>
        <w:t>ному учреждению, организации) соответствующее определение об отложении судебного разбирательства или перерыве в судебном заседании либо выписку из протокола судебного заседания.</w:t>
      </w:r>
    </w:p>
    <w:p w:rsidR="00000000" w:rsidRDefault="002D2205">
      <w:pPr>
        <w:ind w:firstLine="720"/>
        <w:jc w:val="both"/>
      </w:pPr>
      <w:bookmarkStart w:id="7" w:name="sub_5"/>
      <w:r>
        <w:t xml:space="preserve">5. Если экспертиза в силу АПК РФ могла быть назначена по ходатайству или </w:t>
      </w:r>
      <w:r>
        <w:t xml:space="preserve">с согласия участвующих в деле лиц, однако такое ходатайство не поступило или согласие не было получено, оценка требований и возражений сторон осуществляется судом с учетом положений </w:t>
      </w:r>
      <w:hyperlink r:id="rId16" w:history="1">
        <w:r>
          <w:rPr>
            <w:rStyle w:val="a4"/>
          </w:rPr>
          <w:t>статьи 65</w:t>
        </w:r>
      </w:hyperlink>
      <w:r>
        <w:t xml:space="preserve"> АПК РФ о бремени доказывания исходя из принципа состязательности, согласно которому риск наступления последствий несовершения соответствующих процессуальных действий несут лица, участвующие в деле (</w:t>
      </w:r>
      <w:hyperlink r:id="rId17" w:history="1">
        <w:r>
          <w:rPr>
            <w:rStyle w:val="a4"/>
          </w:rPr>
          <w:t>часть 2 статьи 9</w:t>
        </w:r>
      </w:hyperlink>
      <w:r>
        <w:t xml:space="preserve"> Кодекса).</w:t>
      </w:r>
    </w:p>
    <w:p w:rsidR="00000000" w:rsidRDefault="002D2205">
      <w:pPr>
        <w:ind w:firstLine="720"/>
        <w:jc w:val="both"/>
      </w:pPr>
      <w:bookmarkStart w:id="8" w:name="sub_6"/>
      <w:bookmarkEnd w:id="7"/>
      <w:r>
        <w:t>6. Ходатайство о проведении экспертизы может быть заявлено в суде первой или апелляционной инстанции до объявления председательствующим в судебном заседании исследования доказательств законченным (</w:t>
      </w:r>
      <w:hyperlink r:id="rId18" w:history="1">
        <w:r>
          <w:rPr>
            <w:rStyle w:val="a4"/>
          </w:rPr>
          <w:t>часть 1 статьи 164</w:t>
        </w:r>
      </w:hyperlink>
      <w:r>
        <w:t xml:space="preserve"> АПК РФ), а при возобновлении их исследования - до объявления законченным дополнительного исследования доказательств (</w:t>
      </w:r>
      <w:hyperlink r:id="rId19" w:history="1">
        <w:r>
          <w:rPr>
            <w:rStyle w:val="a4"/>
          </w:rPr>
          <w:t>статья 165</w:t>
        </w:r>
      </w:hyperlink>
      <w:r>
        <w:t xml:space="preserve"> Кодекса).</w:t>
      </w:r>
    </w:p>
    <w:p w:rsidR="00000000" w:rsidRDefault="002D2205">
      <w:pPr>
        <w:ind w:firstLine="720"/>
        <w:jc w:val="both"/>
      </w:pPr>
      <w:bookmarkStart w:id="9" w:name="sub_602"/>
      <w:bookmarkEnd w:id="8"/>
      <w:r>
        <w:t xml:space="preserve">Ходатайство о проведении экспертизы в суде апелляционной инстанции рассматривается судом с учетом положений </w:t>
      </w:r>
      <w:hyperlink r:id="rId20" w:history="1">
        <w:r>
          <w:rPr>
            <w:rStyle w:val="a4"/>
          </w:rPr>
          <w:t>части 2 статьи 268</w:t>
        </w:r>
      </w:hyperlink>
      <w:r>
        <w:t xml:space="preserve"> АПК РФ, со</w:t>
      </w:r>
      <w:r>
        <w:t>гласно которым дополнительные доказательства принимаются судом,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уважительными.</w:t>
      </w:r>
    </w:p>
    <w:p w:rsidR="00000000" w:rsidRDefault="002D2205">
      <w:pPr>
        <w:ind w:firstLine="720"/>
        <w:jc w:val="both"/>
      </w:pPr>
      <w:bookmarkStart w:id="10" w:name="sub_7"/>
      <w:bookmarkEnd w:id="9"/>
      <w:r>
        <w:t xml:space="preserve">7. При </w:t>
      </w:r>
      <w:r>
        <w:t xml:space="preserve">применении </w:t>
      </w:r>
      <w:hyperlink r:id="rId21" w:history="1">
        <w:r>
          <w:rPr>
            <w:rStyle w:val="a4"/>
          </w:rPr>
          <w:t>части 1 статьи 82</w:t>
        </w:r>
      </w:hyperlink>
      <w:r>
        <w:t xml:space="preserve"> АПК РФ, касающейся назначения экспертизы с согласия участвующих в деле лиц, следует иметь в виду, что в соответствии со </w:t>
      </w:r>
      <w:hyperlink r:id="rId22" w:history="1">
        <w:r>
          <w:rPr>
            <w:rStyle w:val="a4"/>
          </w:rPr>
          <w:t>статьей 40</w:t>
        </w:r>
      </w:hyperlink>
      <w:r>
        <w:t xml:space="preserve"> Кодекса к таким лицам относятся помимо сторон также третьи лица, прокурор, органы, выступающие в защиту государственных и общественных интересов.</w:t>
      </w:r>
    </w:p>
    <w:p w:rsidR="00000000" w:rsidRDefault="002D2205">
      <w:pPr>
        <w:ind w:firstLine="720"/>
        <w:jc w:val="both"/>
      </w:pPr>
      <w:bookmarkStart w:id="11" w:name="sub_701"/>
      <w:bookmarkEnd w:id="10"/>
      <w:r>
        <w:t>Если указанными лицами не заявлено ходатайство о назначе</w:t>
      </w:r>
      <w:r>
        <w:t>нии экспертизы и судебная экспертиза не может быть назначена по инициативе суда, для назначения экспертизы в рассматриваемом случае необходимо получить согласие от всех участвующих в деле лиц, которые в отсутствие иного соглашения между ними обязаны внести</w:t>
      </w:r>
      <w:r>
        <w:t xml:space="preserve"> на депозитный счет суда в равных частях денежные суммы, подлежащие выплате экспертам (</w:t>
      </w:r>
      <w:hyperlink r:id="rId23" w:history="1">
        <w:r>
          <w:rPr>
            <w:rStyle w:val="a4"/>
          </w:rPr>
          <w:t>часть 1 статьи 108</w:t>
        </w:r>
      </w:hyperlink>
      <w:r>
        <w:t xml:space="preserve">, </w:t>
      </w:r>
      <w:hyperlink r:id="rId24" w:history="1">
        <w:r>
          <w:rPr>
            <w:rStyle w:val="a4"/>
          </w:rPr>
          <w:t>часть 4 ст</w:t>
        </w:r>
        <w:r>
          <w:rPr>
            <w:rStyle w:val="a4"/>
          </w:rPr>
          <w:t>атьи 110</w:t>
        </w:r>
      </w:hyperlink>
      <w:r>
        <w:t xml:space="preserve"> Кодекса).</w:t>
      </w:r>
    </w:p>
    <w:p w:rsidR="00000000" w:rsidRDefault="002D2205">
      <w:pPr>
        <w:ind w:firstLine="720"/>
        <w:jc w:val="both"/>
      </w:pPr>
      <w:bookmarkStart w:id="12" w:name="sub_8"/>
      <w:bookmarkEnd w:id="11"/>
      <w:r>
        <w:t>8. Определяя круг и содержание вопросов, по которым необходимо провести экспертизу, суд исходит из того, что вопросы права и правовых последствий оценки доказательств относятся к исключительной компетенции суда.</w:t>
      </w:r>
    </w:p>
    <w:bookmarkEnd w:id="12"/>
    <w:p w:rsidR="00000000" w:rsidRDefault="002D2205">
      <w:pPr>
        <w:ind w:firstLine="720"/>
        <w:jc w:val="both"/>
      </w:pPr>
      <w:r>
        <w:t>Вмест</w:t>
      </w:r>
      <w:r>
        <w:t>е с тем в целях установления содержания норм иностранного права суд может обратиться в установленном порядке за содействием и разъяснением в компетентные органы или организации либо привлечь экспертов (</w:t>
      </w:r>
      <w:hyperlink r:id="rId25" w:history="1">
        <w:r>
          <w:rPr>
            <w:rStyle w:val="a4"/>
          </w:rPr>
          <w:t>часть 2 статьи 14</w:t>
        </w:r>
      </w:hyperlink>
      <w:r>
        <w:t xml:space="preserve"> АПК РФ, </w:t>
      </w:r>
      <w:hyperlink r:id="rId26" w:history="1">
        <w:r>
          <w:rPr>
            <w:rStyle w:val="a4"/>
          </w:rPr>
          <w:t>пункт 2 статьи 1191</w:t>
        </w:r>
      </w:hyperlink>
      <w:r>
        <w:t xml:space="preserve"> Гражданского кодекса Российской Федерации). При привлечении лица, обладающего специальными знаниями в области иностранного </w:t>
      </w:r>
      <w:r>
        <w:t xml:space="preserve">права, в качестве эксперта суд руководствуется соответствующими положениями </w:t>
      </w:r>
      <w:hyperlink r:id="rId27" w:history="1">
        <w:r>
          <w:rPr>
            <w:rStyle w:val="a4"/>
          </w:rPr>
          <w:t>Закона</w:t>
        </w:r>
      </w:hyperlink>
      <w:r>
        <w:t xml:space="preserve"> об экспертной деятельности, а также нормами </w:t>
      </w:r>
      <w:hyperlink r:id="rId28" w:history="1">
        <w:r>
          <w:rPr>
            <w:rStyle w:val="a4"/>
          </w:rPr>
          <w:t>АПК</w:t>
        </w:r>
      </w:hyperlink>
      <w:r>
        <w:t xml:space="preserve"> РФ, регулирующими вопросы назначения и проведения экспертизы.</w:t>
      </w:r>
    </w:p>
    <w:p w:rsidR="00000000" w:rsidRDefault="002D2205">
      <w:pPr>
        <w:ind w:firstLine="720"/>
        <w:jc w:val="both"/>
      </w:pPr>
      <w:bookmarkStart w:id="13" w:name="sub_9"/>
      <w:r>
        <w:t xml:space="preserve">9. Согласно </w:t>
      </w:r>
      <w:hyperlink r:id="rId29" w:history="1">
        <w:r>
          <w:rPr>
            <w:rStyle w:val="a4"/>
          </w:rPr>
          <w:t>части 2 статьи 82</w:t>
        </w:r>
      </w:hyperlink>
      <w:r>
        <w:t xml:space="preserve"> АПК РФ круг и соде</w:t>
      </w:r>
      <w:r>
        <w:t>ржание вопросов, по которым проводится экспертиза, определяются арбитражным судом, принявшим дело к своему производству.</w:t>
      </w:r>
    </w:p>
    <w:bookmarkEnd w:id="13"/>
    <w:p w:rsidR="00000000" w:rsidRDefault="002D2205">
      <w:pPr>
        <w:ind w:firstLine="720"/>
        <w:jc w:val="both"/>
      </w:pPr>
      <w:r>
        <w:t>Заключение эксперта по результатам проведения судебной экспертизы, назначенной при рассмотрении иного судебного дела, не может при</w:t>
      </w:r>
      <w:r>
        <w:t xml:space="preserve">знаваться экспертным заключением по рассматриваемому делу. Такое заключение может быть признано арбитражным судом иным документом, допускаемым в качестве доказательства в соответствии со </w:t>
      </w:r>
      <w:hyperlink r:id="rId30" w:history="1">
        <w:r>
          <w:rPr>
            <w:rStyle w:val="a4"/>
          </w:rPr>
          <w:t>стат</w:t>
        </w:r>
        <w:r>
          <w:rPr>
            <w:rStyle w:val="a4"/>
          </w:rPr>
          <w:t>ьей 89</w:t>
        </w:r>
      </w:hyperlink>
      <w:r>
        <w:t xml:space="preserve"> Кодекса.</w:t>
      </w:r>
    </w:p>
    <w:p w:rsidR="00000000" w:rsidRDefault="002D2205">
      <w:pPr>
        <w:ind w:firstLine="720"/>
        <w:jc w:val="both"/>
      </w:pPr>
      <w:bookmarkStart w:id="14" w:name="sub_10"/>
      <w:r>
        <w:t>10. Объектами экспертизы могут быть вещественные доказательства, документы, предметы, образцы для сравнительного исследования, а также материалы дела, по которому производится судебная экспертиза (</w:t>
      </w:r>
      <w:hyperlink r:id="rId31" w:history="1">
        <w:r>
          <w:rPr>
            <w:rStyle w:val="a4"/>
          </w:rPr>
          <w:t>статья 10</w:t>
        </w:r>
      </w:hyperlink>
      <w:r>
        <w:t xml:space="preserve"> Закона об экспертной деятельности).</w:t>
      </w:r>
    </w:p>
    <w:bookmarkEnd w:id="14"/>
    <w:p w:rsidR="00000000" w:rsidRDefault="002D2205">
      <w:pPr>
        <w:ind w:firstLine="720"/>
        <w:jc w:val="both"/>
      </w:pPr>
      <w:r>
        <w:t xml:space="preserve">Если объектом исследования является не сам документ, а содержащиеся в нем сведения, в распоряжение эксперта в силу положений </w:t>
      </w:r>
      <w:hyperlink r:id="rId32" w:history="1">
        <w:r>
          <w:rPr>
            <w:rStyle w:val="a4"/>
          </w:rPr>
          <w:t>части 6 статьи 71</w:t>
        </w:r>
      </w:hyperlink>
      <w:r>
        <w:t xml:space="preserve"> и </w:t>
      </w:r>
      <w:hyperlink r:id="rId33" w:history="1">
        <w:r>
          <w:rPr>
            <w:rStyle w:val="a4"/>
          </w:rPr>
          <w:t>части 8 статьи 75</w:t>
        </w:r>
      </w:hyperlink>
      <w:r>
        <w:t xml:space="preserve"> АПК РФ могут быть предоставлены надлежаще заверенные копии соответствующих документов.</w:t>
      </w:r>
    </w:p>
    <w:p w:rsidR="00000000" w:rsidRDefault="002D2205">
      <w:pPr>
        <w:ind w:firstLine="720"/>
        <w:jc w:val="both"/>
      </w:pPr>
      <w:bookmarkStart w:id="15" w:name="sub_11"/>
      <w:r>
        <w:t xml:space="preserve">11. В случае, когда подлежащий предоставлению эксперту для производства экспертизы объект исследования находится у иных лиц, суд, руководствуясь </w:t>
      </w:r>
      <w:hyperlink r:id="rId34" w:history="1">
        <w:r>
          <w:rPr>
            <w:rStyle w:val="a4"/>
          </w:rPr>
          <w:t>частью 1 статьи 16</w:t>
        </w:r>
      </w:hyperlink>
      <w:r>
        <w:t xml:space="preserve"> АПК РФ, решает вопрос </w:t>
      </w:r>
      <w:r>
        <w:t xml:space="preserve">об обеспечении эксперту свободного доступа к такому объекту. Если лицо, у которого находится объект исследования, не предоставляет его в распоряжение эксперта, суд истребует данный объект в порядке, предусмотренном </w:t>
      </w:r>
      <w:hyperlink r:id="rId35" w:history="1">
        <w:r>
          <w:rPr>
            <w:rStyle w:val="a4"/>
          </w:rPr>
          <w:t>частью 4 статьи 66</w:t>
        </w:r>
      </w:hyperlink>
      <w:r>
        <w:t xml:space="preserve"> Кодекса.</w:t>
      </w:r>
    </w:p>
    <w:p w:rsidR="00000000" w:rsidRDefault="002D2205">
      <w:pPr>
        <w:ind w:firstLine="720"/>
        <w:jc w:val="both"/>
      </w:pPr>
      <w:bookmarkStart w:id="16" w:name="sub_12"/>
      <w:bookmarkEnd w:id="15"/>
      <w:r>
        <w:t xml:space="preserve">12. Кодекс не относит определение о назначении экспертизы к судебным актам, которые могут быть обжалованы в соответствии с </w:t>
      </w:r>
      <w:hyperlink r:id="rId36" w:history="1">
        <w:r>
          <w:rPr>
            <w:rStyle w:val="a4"/>
          </w:rPr>
          <w:t>частью 1 статьи 188</w:t>
        </w:r>
      </w:hyperlink>
      <w:r>
        <w:t xml:space="preserve"> АПК РФ. Поэтому возражения по поводу назначения экспертизы могут быть заявлены при обжаловании судебного акта, которым заканчивается рассмотрение дела по существу (</w:t>
      </w:r>
      <w:hyperlink r:id="rId37" w:history="1">
        <w:r>
          <w:rPr>
            <w:rStyle w:val="a4"/>
          </w:rPr>
          <w:t>часть 2 статьи 188</w:t>
        </w:r>
      </w:hyperlink>
      <w:r>
        <w:t xml:space="preserve"> Кодекса).</w:t>
      </w:r>
    </w:p>
    <w:p w:rsidR="00000000" w:rsidRDefault="002D2205">
      <w:pPr>
        <w:ind w:firstLine="720"/>
        <w:jc w:val="both"/>
      </w:pPr>
      <w:bookmarkStart w:id="17" w:name="sub_122"/>
      <w:bookmarkEnd w:id="16"/>
      <w:r>
        <w:t>В случае приостановления производства по делу в связи с назначением экспертизы назначение экспертизы как основание приостановления подлежит оценке судом при проверке законности определения о приостановлении п</w:t>
      </w:r>
      <w:r>
        <w:t>роизводства по делу (</w:t>
      </w:r>
      <w:hyperlink r:id="rId38" w:history="1">
        <w:r>
          <w:rPr>
            <w:rStyle w:val="a4"/>
          </w:rPr>
          <w:t>часть 2 статьи 147</w:t>
        </w:r>
      </w:hyperlink>
      <w:r>
        <w:t xml:space="preserve"> АПК РФ).</w:t>
      </w:r>
    </w:p>
    <w:p w:rsidR="00000000" w:rsidRDefault="002D2205">
      <w:pPr>
        <w:ind w:firstLine="720"/>
        <w:jc w:val="both"/>
      </w:pPr>
      <w:bookmarkStart w:id="18" w:name="sub_13"/>
      <w:bookmarkEnd w:id="17"/>
      <w:r>
        <w:t xml:space="preserve">13. В силу </w:t>
      </w:r>
      <w:hyperlink r:id="rId39" w:history="1">
        <w:r>
          <w:rPr>
            <w:rStyle w:val="a4"/>
          </w:rPr>
          <w:t>части 4 статьи 82</w:t>
        </w:r>
      </w:hyperlink>
      <w:r>
        <w:t xml:space="preserve"> АПК РФ в определении о </w:t>
      </w:r>
      <w:r>
        <w:t>назначении экспертизы указывается срок ее проведения, который может быть определен путем указания точной календарной даты окончания экспертизы либо периода, в течение которого она должна быть проведена.</w:t>
      </w:r>
    </w:p>
    <w:bookmarkEnd w:id="18"/>
    <w:p w:rsidR="00000000" w:rsidRDefault="002D2205">
      <w:pPr>
        <w:ind w:firstLine="720"/>
        <w:jc w:val="both"/>
      </w:pPr>
      <w:r>
        <w:t>Истечение данного срока, если производство по д</w:t>
      </w:r>
      <w:r>
        <w:t xml:space="preserve">елу было приостановлено, влечет в соответствии с </w:t>
      </w:r>
      <w:hyperlink r:id="rId40" w:history="1">
        <w:r>
          <w:rPr>
            <w:rStyle w:val="a4"/>
          </w:rPr>
          <w:t>пунктом 4 статьи 145</w:t>
        </w:r>
      </w:hyperlink>
      <w:r>
        <w:t xml:space="preserve"> и </w:t>
      </w:r>
      <w:hyperlink r:id="rId41" w:history="1">
        <w:r>
          <w:rPr>
            <w:rStyle w:val="a4"/>
          </w:rPr>
          <w:t>статьей 146</w:t>
        </w:r>
      </w:hyperlink>
      <w:r>
        <w:t xml:space="preserve"> Кодекса обязательное возобновлен</w:t>
      </w:r>
      <w:r>
        <w:t>ие судом производства по делу. При необходимости продления сроков проведения экспертизы суд вправе, возобновив производство, вновь приостановить его и установить новый срок проведения экспертизы.</w:t>
      </w:r>
    </w:p>
    <w:p w:rsidR="00000000" w:rsidRDefault="002D2205">
      <w:pPr>
        <w:ind w:firstLine="720"/>
        <w:jc w:val="both"/>
      </w:pPr>
      <w:bookmarkStart w:id="19" w:name="sub_1303"/>
      <w:r>
        <w:t>Если необходимость в продолжении проведения эксперти</w:t>
      </w:r>
      <w:r>
        <w:t xml:space="preserve">зы отпала (например, вследствие изменения истцом основания иска, уничтожения предмета экспертного исследования), суд по заявлению участвующих в деле лиц или по своей инициативе в соответствии с </w:t>
      </w:r>
      <w:hyperlink r:id="rId42" w:history="1">
        <w:r>
          <w:rPr>
            <w:rStyle w:val="a4"/>
          </w:rPr>
          <w:t>частью 1 статьи 184</w:t>
        </w:r>
      </w:hyperlink>
      <w:r>
        <w:t xml:space="preserve"> АПК РФ выносит определение о прекращении проведения экспертизы, предварительно возобновив производство по делу, если оно было приостановлено.</w:t>
      </w:r>
    </w:p>
    <w:p w:rsidR="00000000" w:rsidRDefault="002D2205">
      <w:pPr>
        <w:ind w:firstLine="720"/>
        <w:jc w:val="both"/>
      </w:pPr>
      <w:bookmarkStart w:id="20" w:name="sub_14"/>
      <w:bookmarkEnd w:id="19"/>
      <w:r>
        <w:t xml:space="preserve">14. Согласно </w:t>
      </w:r>
      <w:hyperlink r:id="rId43" w:history="1">
        <w:r>
          <w:rPr>
            <w:rStyle w:val="a4"/>
          </w:rPr>
          <w:t>статье 37</w:t>
        </w:r>
      </w:hyperlink>
      <w:r>
        <w:t xml:space="preserve"> Закона об экспертной деятельности финансирование государственных судебно-экспертных учреждений осуществляется за счет средств федерального бюджета или бюджетов субъектов Российской Федерации. При этом данные учреждения вправе проводить </w:t>
      </w:r>
      <w:r>
        <w:t>на договорной основе экспертные исследования для граждан и юридических лиц, а также взимать плату за производство судебных экспертиз по гражданским и арбитражным делам, делам об административных правонарушениях.</w:t>
      </w:r>
    </w:p>
    <w:bookmarkEnd w:id="20"/>
    <w:p w:rsidR="00000000" w:rsidRDefault="002D2205">
      <w:pPr>
        <w:ind w:firstLine="720"/>
        <w:jc w:val="both"/>
      </w:pPr>
      <w:r>
        <w:t xml:space="preserve">При применении названной нормы Закона </w:t>
      </w:r>
      <w:r>
        <w:t xml:space="preserve">суду необходимо иметь в виду, что по смыслу </w:t>
      </w:r>
      <w:hyperlink r:id="rId44" w:history="1">
        <w:r>
          <w:rPr>
            <w:rStyle w:val="a4"/>
          </w:rPr>
          <w:t>части 3 статьи 109</w:t>
        </w:r>
      </w:hyperlink>
      <w:r>
        <w:t xml:space="preserve"> АПК РФ государственное судебно-экспертное учреждение вправе взимать плату за проводимую в рамках арбитражного дела эксперт</w:t>
      </w:r>
      <w:r>
        <w:t>изу в случае, когда экспертиза назначена судом по ходатайству или с согласия лиц, участвующих в деле. При назначении экспертизы по инициативе арбитражного суда указанная плата не взимается.</w:t>
      </w:r>
    </w:p>
    <w:p w:rsidR="00000000" w:rsidRDefault="002D2205">
      <w:pPr>
        <w:ind w:firstLine="720"/>
        <w:jc w:val="both"/>
      </w:pPr>
      <w:r>
        <w:t xml:space="preserve">При проведении экспертизы, назначенной по инициативе арбитражного </w:t>
      </w:r>
      <w:r>
        <w:t xml:space="preserve">суда, в негосударственной экспертной организации выплата вознаграждения этой организации производится за счет средств федерального бюджета в соответствии с </w:t>
      </w:r>
      <w:hyperlink r:id="rId45" w:history="1">
        <w:r>
          <w:rPr>
            <w:rStyle w:val="a4"/>
          </w:rPr>
          <w:t>частью 3 статьи 109</w:t>
        </w:r>
      </w:hyperlink>
      <w:r>
        <w:t xml:space="preserve"> АПК РФ.</w:t>
      </w:r>
    </w:p>
    <w:p w:rsidR="00000000" w:rsidRDefault="002D2205">
      <w:pPr>
        <w:ind w:firstLine="720"/>
        <w:jc w:val="both"/>
      </w:pPr>
      <w:bookmarkStart w:id="21" w:name="sub_15"/>
      <w:r>
        <w:t>15. До назначения экспертизы по ходатайству или с согласия лиц, участвующих в деле, суд определяет по согласованию с этими лицами и экспертом (экспертным учреждением, организацией) размер вознаграждения, подлежащего выплате за экспертизу, и устанавлив</w:t>
      </w:r>
      <w:r>
        <w:t>ает срок, в течение которого соответствующие денежные суммы должны быть внесены на депозитный счет суда лицами, заявившими ходатайство о проведении экспертизы или давшими согласие на ее проведение (</w:t>
      </w:r>
      <w:hyperlink r:id="rId46" w:history="1">
        <w:r>
          <w:rPr>
            <w:rStyle w:val="a4"/>
          </w:rPr>
          <w:t>часть 1 статьи 108</w:t>
        </w:r>
      </w:hyperlink>
      <w:r>
        <w:t xml:space="preserve"> АПК РФ).</w:t>
      </w:r>
    </w:p>
    <w:bookmarkEnd w:id="21"/>
    <w:p w:rsidR="00000000" w:rsidRDefault="002D2205">
      <w:pPr>
        <w:ind w:firstLine="720"/>
        <w:jc w:val="both"/>
      </w:pPr>
      <w:r>
        <w:t>В случае неисполнения указанными лицами обязанности по внесению на депозитный счет суда денежных сумм в установленном размере суд вправе вынести определение об отклонении ходатайства о назначении экспертизы.</w:t>
      </w:r>
    </w:p>
    <w:p w:rsidR="00000000" w:rsidRDefault="002D2205">
      <w:pPr>
        <w:ind w:firstLine="720"/>
        <w:jc w:val="both"/>
      </w:pPr>
      <w:r>
        <w:t>Е</w:t>
      </w:r>
      <w:r>
        <w:t>сли при названных обстоятельствах дело не может быть рассмотрено и решение принято на основании других представленных сторонами доказательств (</w:t>
      </w:r>
      <w:hyperlink r:id="rId47" w:history="1">
        <w:r>
          <w:rPr>
            <w:rStyle w:val="a4"/>
          </w:rPr>
          <w:t>часть 2 статьи 108</w:t>
        </w:r>
      </w:hyperlink>
      <w:r>
        <w:t xml:space="preserve"> АПК РФ), выплата денежн</w:t>
      </w:r>
      <w:r>
        <w:t xml:space="preserve">ых средств эксперту (экспертному учреждению, организации) производится за счет федерального бюджета применительно к </w:t>
      </w:r>
      <w:hyperlink r:id="rId48" w:history="1">
        <w:r>
          <w:rPr>
            <w:rStyle w:val="a4"/>
          </w:rPr>
          <w:t>части 3 статьи 109</w:t>
        </w:r>
      </w:hyperlink>
      <w:r>
        <w:t xml:space="preserve"> АПК РФ.</w:t>
      </w:r>
    </w:p>
    <w:p w:rsidR="00000000" w:rsidRDefault="002D2205">
      <w:pPr>
        <w:ind w:firstLine="720"/>
        <w:jc w:val="both"/>
      </w:pPr>
      <w:r>
        <w:t>Решение о взыскании в доход федерального б</w:t>
      </w:r>
      <w:r>
        <w:t xml:space="preserve">юджета подлежащих выплате эксперту сумм с лица, не исполнившего указанную обязанность по депонированию, может быть принято в судебном заседании, в котором оглашено заключение эксперта, путем направления в соответствии с </w:t>
      </w:r>
      <w:hyperlink r:id="rId49" w:history="1">
        <w:r>
          <w:rPr>
            <w:rStyle w:val="a4"/>
          </w:rPr>
          <w:t>частью 3 статьи 319</w:t>
        </w:r>
      </w:hyperlink>
      <w:r>
        <w:t xml:space="preserve"> АПК РФ исполнительного листа в налоговый орган по месту нахождения такого лица.</w:t>
      </w:r>
    </w:p>
    <w:p w:rsidR="00000000" w:rsidRDefault="002D2205">
      <w:pPr>
        <w:ind w:firstLine="720"/>
        <w:jc w:val="both"/>
      </w:pPr>
      <w:bookmarkStart w:id="22" w:name="sub_155"/>
      <w:r>
        <w:t>По результатам судебного разбирательства указанные расходы распределяются между лицами, участвующими в деле, в пор</w:t>
      </w:r>
      <w:r>
        <w:t xml:space="preserve">ядке, установленном </w:t>
      </w:r>
      <w:hyperlink r:id="rId50" w:history="1">
        <w:r>
          <w:rPr>
            <w:rStyle w:val="a4"/>
          </w:rPr>
          <w:t>Кодексом</w:t>
        </w:r>
      </w:hyperlink>
      <w:r>
        <w:t>.</w:t>
      </w:r>
    </w:p>
    <w:p w:rsidR="00000000" w:rsidRDefault="002D2205">
      <w:pPr>
        <w:ind w:firstLine="720"/>
        <w:jc w:val="both"/>
      </w:pPr>
      <w:bookmarkStart w:id="23" w:name="sub_16"/>
      <w:bookmarkEnd w:id="22"/>
      <w:r>
        <w:t>16. Если эксперт выполнил исследование в полном объеме, однако на поставленные вопросы не ответил по не зависящим от него причинам, размер возна</w:t>
      </w:r>
      <w:r>
        <w:t>граждения эксперту не может быть уменьшен.</w:t>
      </w:r>
    </w:p>
    <w:p w:rsidR="00000000" w:rsidRDefault="002D2205">
      <w:pPr>
        <w:ind w:firstLine="720"/>
        <w:jc w:val="both"/>
      </w:pPr>
      <w:bookmarkStart w:id="24" w:name="sub_162"/>
      <w:bookmarkEnd w:id="23"/>
      <w:r>
        <w:t>Отражение экспертом в заключении выводов по вопросам, которые не были перед ним поставлены, не может служить основанием для увеличения ему судом размера вознаграждения.</w:t>
      </w:r>
    </w:p>
    <w:bookmarkEnd w:id="24"/>
    <w:p w:rsidR="00000000" w:rsidRDefault="002D2205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2D2205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D2205" w:rsidRDefault="002D2205">
            <w:pPr>
              <w:pStyle w:val="afff1"/>
              <w:rPr>
                <w:sz w:val="26"/>
                <w:szCs w:val="26"/>
              </w:rPr>
            </w:pPr>
            <w:r w:rsidRPr="002D2205">
              <w:rPr>
                <w:sz w:val="26"/>
                <w:szCs w:val="26"/>
              </w:rPr>
              <w:t>Председатель</w:t>
            </w:r>
            <w:r w:rsidRPr="002D2205">
              <w:rPr>
                <w:sz w:val="26"/>
                <w:szCs w:val="26"/>
              </w:rPr>
              <w:br/>
              <w:t>Высшего Ар</w:t>
            </w:r>
            <w:r w:rsidRPr="002D2205">
              <w:rPr>
                <w:sz w:val="26"/>
                <w:szCs w:val="26"/>
              </w:rPr>
              <w:t>битражного Суда</w:t>
            </w:r>
            <w:r w:rsidRPr="002D2205">
              <w:rPr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D2205" w:rsidRDefault="002D2205">
            <w:pPr>
              <w:pStyle w:val="aff8"/>
              <w:jc w:val="right"/>
              <w:rPr>
                <w:sz w:val="26"/>
                <w:szCs w:val="26"/>
              </w:rPr>
            </w:pPr>
            <w:r w:rsidRPr="002D2205">
              <w:rPr>
                <w:sz w:val="26"/>
                <w:szCs w:val="26"/>
              </w:rPr>
              <w:t>А.А. Иванов</w:t>
            </w:r>
          </w:p>
        </w:tc>
      </w:tr>
    </w:tbl>
    <w:p w:rsidR="00000000" w:rsidRDefault="002D2205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2D2205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D2205" w:rsidRDefault="002D2205">
            <w:pPr>
              <w:pStyle w:val="afff1"/>
              <w:rPr>
                <w:sz w:val="26"/>
                <w:szCs w:val="26"/>
              </w:rPr>
            </w:pPr>
            <w:r w:rsidRPr="002D2205">
              <w:rPr>
                <w:sz w:val="26"/>
                <w:szCs w:val="26"/>
              </w:rPr>
              <w:t>Секретарь Пленума,</w:t>
            </w:r>
            <w:r w:rsidRPr="002D2205">
              <w:rPr>
                <w:sz w:val="26"/>
                <w:szCs w:val="26"/>
              </w:rPr>
              <w:br/>
              <w:t>судья Высшего Арбитражного Суда</w:t>
            </w:r>
            <w:r w:rsidRPr="002D2205">
              <w:rPr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D2205" w:rsidRDefault="002D2205">
            <w:pPr>
              <w:pStyle w:val="aff8"/>
              <w:jc w:val="right"/>
              <w:rPr>
                <w:sz w:val="26"/>
                <w:szCs w:val="26"/>
              </w:rPr>
            </w:pPr>
            <w:r w:rsidRPr="002D2205">
              <w:rPr>
                <w:sz w:val="26"/>
                <w:szCs w:val="26"/>
              </w:rPr>
              <w:t>А.С. Козлова</w:t>
            </w:r>
          </w:p>
        </w:tc>
      </w:tr>
    </w:tbl>
    <w:p w:rsidR="002D2205" w:rsidRDefault="002D2205">
      <w:pPr>
        <w:ind w:firstLine="720"/>
        <w:jc w:val="both"/>
      </w:pPr>
    </w:p>
    <w:sectPr w:rsidR="002D220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D4A"/>
    <w:rsid w:val="002D2205"/>
    <w:rsid w:val="008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.mipcnet.org/document?id=12027526&amp;sub=13604" TargetMode="External"/><Relationship Id="rId18" Type="http://schemas.openxmlformats.org/officeDocument/2006/relationships/hyperlink" Target="http://garant.mipcnet.org/document?id=12027526&amp;sub=16401" TargetMode="External"/><Relationship Id="rId26" Type="http://schemas.openxmlformats.org/officeDocument/2006/relationships/hyperlink" Target="http://garant.mipcnet.org/document?id=10064072&amp;sub=11912" TargetMode="External"/><Relationship Id="rId39" Type="http://schemas.openxmlformats.org/officeDocument/2006/relationships/hyperlink" Target="http://garant.mipcnet.org/document?id=12027526&amp;sub=820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rant.mipcnet.org/document?id=12027526&amp;sub=8201" TargetMode="External"/><Relationship Id="rId34" Type="http://schemas.openxmlformats.org/officeDocument/2006/relationships/hyperlink" Target="http://garant.mipcnet.org/document?id=12027526&amp;sub=1601" TargetMode="External"/><Relationship Id="rId42" Type="http://schemas.openxmlformats.org/officeDocument/2006/relationships/hyperlink" Target="http://garant.mipcnet.org/document?id=12027526&amp;sub=18401" TargetMode="External"/><Relationship Id="rId47" Type="http://schemas.openxmlformats.org/officeDocument/2006/relationships/hyperlink" Target="http://garant.mipcnet.org/document?id=12027526&amp;sub=10802" TargetMode="External"/><Relationship Id="rId50" Type="http://schemas.openxmlformats.org/officeDocument/2006/relationships/hyperlink" Target="http://garant.mipcnet.org/document?id=12027526&amp;sub=110" TargetMode="External"/><Relationship Id="rId7" Type="http://schemas.openxmlformats.org/officeDocument/2006/relationships/hyperlink" Target="http://garant.mipcnet.org/document?id=12023142&amp;sub=1603" TargetMode="External"/><Relationship Id="rId12" Type="http://schemas.openxmlformats.org/officeDocument/2006/relationships/hyperlink" Target="http://garant.mipcnet.org/document?id=12027526&amp;sub=10702" TargetMode="External"/><Relationship Id="rId17" Type="http://schemas.openxmlformats.org/officeDocument/2006/relationships/hyperlink" Target="http://garant.mipcnet.org/document?id=12027526&amp;sub=90002" TargetMode="External"/><Relationship Id="rId25" Type="http://schemas.openxmlformats.org/officeDocument/2006/relationships/hyperlink" Target="http://garant.mipcnet.org/document?id=12027526&amp;sub=1402" TargetMode="External"/><Relationship Id="rId33" Type="http://schemas.openxmlformats.org/officeDocument/2006/relationships/hyperlink" Target="http://garant.mipcnet.org/document?id=12027526&amp;sub=7508" TargetMode="External"/><Relationship Id="rId38" Type="http://schemas.openxmlformats.org/officeDocument/2006/relationships/hyperlink" Target="http://garant.mipcnet.org/document?id=12027526&amp;sub=14702" TargetMode="External"/><Relationship Id="rId46" Type="http://schemas.openxmlformats.org/officeDocument/2006/relationships/hyperlink" Target="http://garant.mipcnet.org/document?id=12027526&amp;sub=108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ant.mipcnet.org/document?id=12027526&amp;sub=65" TargetMode="External"/><Relationship Id="rId20" Type="http://schemas.openxmlformats.org/officeDocument/2006/relationships/hyperlink" Target="http://garant.mipcnet.org/document?id=12027526&amp;sub=26802" TargetMode="External"/><Relationship Id="rId29" Type="http://schemas.openxmlformats.org/officeDocument/2006/relationships/hyperlink" Target="http://garant.mipcnet.org/document?id=12027526&amp;sub=8202" TargetMode="External"/><Relationship Id="rId41" Type="http://schemas.openxmlformats.org/officeDocument/2006/relationships/hyperlink" Target="http://garant.mipcnet.org/document?id=12027526&amp;sub=146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.mipcnet.org/document?id=12027526&amp;sub=8301" TargetMode="External"/><Relationship Id="rId11" Type="http://schemas.openxmlformats.org/officeDocument/2006/relationships/hyperlink" Target="http://garant.mipcnet.org/document?id=12027526&amp;sub=8204" TargetMode="External"/><Relationship Id="rId24" Type="http://schemas.openxmlformats.org/officeDocument/2006/relationships/hyperlink" Target="http://garant.mipcnet.org/document?id=12027526&amp;sub=11004" TargetMode="External"/><Relationship Id="rId32" Type="http://schemas.openxmlformats.org/officeDocument/2006/relationships/hyperlink" Target="http://garant.mipcnet.org/document?id=12027526&amp;sub=7106" TargetMode="External"/><Relationship Id="rId37" Type="http://schemas.openxmlformats.org/officeDocument/2006/relationships/hyperlink" Target="http://garant.mipcnet.org/document?id=12027526&amp;sub=18802" TargetMode="External"/><Relationship Id="rId40" Type="http://schemas.openxmlformats.org/officeDocument/2006/relationships/hyperlink" Target="http://garant.mipcnet.org/document?id=12027526&amp;sub=14504" TargetMode="External"/><Relationship Id="rId45" Type="http://schemas.openxmlformats.org/officeDocument/2006/relationships/hyperlink" Target="http://garant.mipcnet.org/document?id=12027526&amp;sub=10903" TargetMode="External"/><Relationship Id="rId5" Type="http://schemas.openxmlformats.org/officeDocument/2006/relationships/hyperlink" Target="http://garant.mipcnet.org/document?id=10064323&amp;sub=130101" TargetMode="External"/><Relationship Id="rId15" Type="http://schemas.openxmlformats.org/officeDocument/2006/relationships/hyperlink" Target="http://garant.mipcnet.org/document?id=12027526&amp;sub=163" TargetMode="External"/><Relationship Id="rId23" Type="http://schemas.openxmlformats.org/officeDocument/2006/relationships/hyperlink" Target="http://garant.mipcnet.org/document?id=12027526&amp;sub=10801" TargetMode="External"/><Relationship Id="rId28" Type="http://schemas.openxmlformats.org/officeDocument/2006/relationships/hyperlink" Target="http://garant.mipcnet.org/document?id=12027526&amp;sub=0" TargetMode="External"/><Relationship Id="rId36" Type="http://schemas.openxmlformats.org/officeDocument/2006/relationships/hyperlink" Target="http://garant.mipcnet.org/document?id=12027526&amp;sub=18801" TargetMode="External"/><Relationship Id="rId49" Type="http://schemas.openxmlformats.org/officeDocument/2006/relationships/hyperlink" Target="http://garant.mipcnet.org/document?id=12027526&amp;sub=31903" TargetMode="External"/><Relationship Id="rId10" Type="http://schemas.openxmlformats.org/officeDocument/2006/relationships/hyperlink" Target="http://garant.mipcnet.org/document?id=12027526&amp;sub=8203" TargetMode="External"/><Relationship Id="rId19" Type="http://schemas.openxmlformats.org/officeDocument/2006/relationships/hyperlink" Target="http://garant.mipcnet.org/document?id=12027526&amp;sub=165" TargetMode="External"/><Relationship Id="rId31" Type="http://schemas.openxmlformats.org/officeDocument/2006/relationships/hyperlink" Target="http://garant.mipcnet.org/document?id=12023142&amp;sub=10" TargetMode="External"/><Relationship Id="rId44" Type="http://schemas.openxmlformats.org/officeDocument/2006/relationships/hyperlink" Target="http://garant.mipcnet.org/document?id=12027526&amp;sub=10903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garant.mipcnet.org/document?id=5710875&amp;sub=0" TargetMode="External"/><Relationship Id="rId9" Type="http://schemas.openxmlformats.org/officeDocument/2006/relationships/hyperlink" Target="http://garant.mipcnet.org/document?id=12027526&amp;sub=23" TargetMode="External"/><Relationship Id="rId14" Type="http://schemas.openxmlformats.org/officeDocument/2006/relationships/hyperlink" Target="http://garant.mipcnet.org/document?id=12027526&amp;sub=158" TargetMode="External"/><Relationship Id="rId22" Type="http://schemas.openxmlformats.org/officeDocument/2006/relationships/hyperlink" Target="http://garant.mipcnet.org/document?id=12027526&amp;sub=40" TargetMode="External"/><Relationship Id="rId27" Type="http://schemas.openxmlformats.org/officeDocument/2006/relationships/hyperlink" Target="http://garant.mipcnet.org/document?id=12023142&amp;sub=0" TargetMode="External"/><Relationship Id="rId30" Type="http://schemas.openxmlformats.org/officeDocument/2006/relationships/hyperlink" Target="http://garant.mipcnet.org/document?id=12027526&amp;sub=89" TargetMode="External"/><Relationship Id="rId35" Type="http://schemas.openxmlformats.org/officeDocument/2006/relationships/hyperlink" Target="http://garant.mipcnet.org/document?id=12027526&amp;sub=6604" TargetMode="External"/><Relationship Id="rId43" Type="http://schemas.openxmlformats.org/officeDocument/2006/relationships/hyperlink" Target="http://garant.mipcnet.org/document?id=12023142&amp;sub=37" TargetMode="External"/><Relationship Id="rId48" Type="http://schemas.openxmlformats.org/officeDocument/2006/relationships/hyperlink" Target="http://garant.mipcnet.org/document?id=12027526&amp;sub=10903" TargetMode="External"/><Relationship Id="rId8" Type="http://schemas.openxmlformats.org/officeDocument/2006/relationships/hyperlink" Target="http://garant.mipcnet.org/document?id=12027526&amp;sub=500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2534</Words>
  <Characters>14448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Пленума Высшего Арбитражного Суда РФ от 20 декабря 2006 г. N 66 "О</vt:lpstr>
    </vt:vector>
  </TitlesOfParts>
  <Company>ООО "Системс"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2013-11-27T05:52:00Z</dcterms:created>
  <dcterms:modified xsi:type="dcterms:W3CDTF">2013-11-27T05:52:00Z</dcterms:modified>
</cp:coreProperties>
</file>