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Tr="00A37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36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3446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</w:t>
            </w:r>
            <w:r w:rsidRPr="0015426C">
              <w:rPr>
                <w:rFonts w:ascii="Times New Roman" w:hAnsi="Times New Roman" w:cs="Times New Roman"/>
                <w:sz w:val="48"/>
                <w:szCs w:val="48"/>
              </w:rPr>
              <w:t>ГОСТ Р 70627-2023. Национальный стандарт Российской Федерации. Центры обработки данных. Инженерная инфраструктура. Документация. Техническая концепция. Требования к составу и соде</w:t>
            </w:r>
            <w:r w:rsidRPr="0015426C">
              <w:rPr>
                <w:rFonts w:ascii="Times New Roman" w:hAnsi="Times New Roman" w:cs="Times New Roman"/>
                <w:sz w:val="48"/>
                <w:szCs w:val="48"/>
              </w:rPr>
              <w:t>ржанию"</w:t>
            </w:r>
            <w:r w:rsidRPr="0015426C">
              <w:rPr>
                <w:rFonts w:ascii="Times New Roman" w:hAnsi="Times New Roman" w:cs="Times New Roman"/>
                <w:sz w:val="48"/>
                <w:szCs w:val="48"/>
              </w:rPr>
              <w:br/>
              <w:t>(утв. и введен в действие Приказом Росстандарта от 11.01.2023 N 5</w:t>
            </w:r>
            <w:r>
              <w:rPr>
                <w:sz w:val="48"/>
                <w:szCs w:val="48"/>
              </w:rPr>
              <w:t>-ст)</w:t>
            </w:r>
          </w:p>
        </w:tc>
      </w:tr>
    </w:tbl>
    <w:p w:rsidR="00000000" w:rsidRDefault="00C3446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34460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C34460">
      <w:pPr>
        <w:pStyle w:val="ConsPlusNormal"/>
        <w:jc w:val="both"/>
      </w:pPr>
      <w:r>
        <w:t>М.: ФГБУ "Институт стандартизации", 2023</w:t>
      </w:r>
    </w:p>
    <w:p w:rsidR="00000000" w:rsidRDefault="00C34460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C34460">
      <w:pPr>
        <w:pStyle w:val="ConsPlusNormal"/>
        <w:jc w:val="both"/>
      </w:pPr>
      <w:r>
        <w:t xml:space="preserve">Документ </w:t>
      </w:r>
      <w:r w:rsidRPr="00A37837">
        <w:t>введен</w:t>
      </w:r>
      <w:r w:rsidRPr="00A37837">
        <w:t xml:space="preserve"> в дейст</w:t>
      </w:r>
      <w:r>
        <w:t>вие с 01.03.2023.</w:t>
      </w:r>
    </w:p>
    <w:p w:rsidR="00000000" w:rsidRDefault="00C34460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C34460">
      <w:pPr>
        <w:pStyle w:val="ConsPlusNormal"/>
        <w:jc w:val="both"/>
      </w:pPr>
      <w:r>
        <w:t>"ГОСТ Р 70627-20</w:t>
      </w:r>
      <w:r>
        <w:t>23. Национальный стандарт Российской Федерации. Центры обработки данных. Инженерная инфраструктура. Документация. Техническая концепция. Требования к составу и содержанию"</w:t>
      </w:r>
    </w:p>
    <w:p w:rsidR="00000000" w:rsidRDefault="00C34460">
      <w:pPr>
        <w:pStyle w:val="ConsPlusNormal"/>
        <w:jc w:val="both"/>
      </w:pPr>
      <w:r>
        <w:t>(утв. и введен в действие Приказом Росстандарта от 11.01.2023 N 5-ст)</w:t>
      </w:r>
    </w:p>
    <w:p w:rsidR="00000000" w:rsidRDefault="00C34460">
      <w:pPr>
        <w:pStyle w:val="ConsPlusNormal"/>
        <w:sectPr w:rsidR="00000000" w:rsidSect="00A37837">
          <w:headerReference w:type="default" r:id="rId6"/>
          <w:footerReference w:type="default" r:id="rId7"/>
          <w:pgSz w:w="11906" w:h="16838"/>
          <w:pgMar w:top="1440" w:right="566" w:bottom="1440" w:left="1133" w:header="568" w:footer="465" w:gutter="0"/>
          <w:cols w:space="720"/>
          <w:noEndnote/>
        </w:sectPr>
      </w:pPr>
    </w:p>
    <w:p w:rsidR="00000000" w:rsidRDefault="00C34460">
      <w:pPr>
        <w:pStyle w:val="ConsPlusNormal"/>
        <w:ind w:firstLine="540"/>
        <w:jc w:val="both"/>
        <w:outlineLvl w:val="0"/>
      </w:pPr>
    </w:p>
    <w:p w:rsidR="00000000" w:rsidRDefault="00C34460">
      <w:pPr>
        <w:pStyle w:val="ConsPlusNormal"/>
        <w:jc w:val="right"/>
        <w:outlineLvl w:val="0"/>
      </w:pPr>
      <w:r>
        <w:t>Утвержден и введен в действие</w:t>
      </w:r>
    </w:p>
    <w:p w:rsidR="00000000" w:rsidRPr="0015426C" w:rsidRDefault="00C34460">
      <w:pPr>
        <w:pStyle w:val="ConsPlusNormal"/>
        <w:jc w:val="right"/>
      </w:pPr>
      <w:r w:rsidRPr="0015426C">
        <w:t>Приказом</w:t>
      </w:r>
      <w:r w:rsidRPr="0015426C">
        <w:t xml:space="preserve"> Федерального</w:t>
      </w:r>
    </w:p>
    <w:p w:rsidR="00000000" w:rsidRPr="0015426C" w:rsidRDefault="00C34460">
      <w:pPr>
        <w:pStyle w:val="ConsPlusNormal"/>
        <w:jc w:val="right"/>
      </w:pPr>
      <w:r w:rsidRPr="0015426C">
        <w:t>агентства по техническому</w:t>
      </w:r>
    </w:p>
    <w:p w:rsidR="00000000" w:rsidRPr="0015426C" w:rsidRDefault="00C34460">
      <w:pPr>
        <w:pStyle w:val="ConsPlusNormal"/>
        <w:jc w:val="right"/>
      </w:pPr>
      <w:r w:rsidRPr="0015426C">
        <w:t>регулированию и метрологии</w:t>
      </w:r>
    </w:p>
    <w:p w:rsidR="00000000" w:rsidRDefault="00C34460">
      <w:pPr>
        <w:pStyle w:val="ConsPlusNormal"/>
        <w:jc w:val="right"/>
      </w:pPr>
      <w:r w:rsidRPr="0015426C">
        <w:t>от 11 января</w:t>
      </w:r>
      <w:r>
        <w:t xml:space="preserve"> 2023 г. N 5-ст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Title"/>
        <w:jc w:val="center"/>
      </w:pPr>
      <w:r>
        <w:t>НАЦИОНАЛЬНЫЙ СТАНДАРТ РОССИЙСКОЙ ФЕДЕРАЦИИ</w:t>
      </w:r>
    </w:p>
    <w:p w:rsidR="00000000" w:rsidRDefault="00C34460">
      <w:pPr>
        <w:pStyle w:val="ConsPlusTitle"/>
        <w:jc w:val="center"/>
      </w:pPr>
    </w:p>
    <w:p w:rsidR="00000000" w:rsidRDefault="00C34460">
      <w:pPr>
        <w:pStyle w:val="ConsPlusTitle"/>
        <w:jc w:val="center"/>
      </w:pPr>
      <w:r>
        <w:t>ЦЕНТРЫ ОБРАБ</w:t>
      </w:r>
      <w:r>
        <w:t>ОТКИ ДАННЫХ</w:t>
      </w:r>
    </w:p>
    <w:p w:rsidR="00000000" w:rsidRDefault="00C34460">
      <w:pPr>
        <w:pStyle w:val="ConsPlusTitle"/>
        <w:jc w:val="center"/>
      </w:pPr>
    </w:p>
    <w:p w:rsidR="00000000" w:rsidRDefault="00C34460">
      <w:pPr>
        <w:pStyle w:val="ConsPlusTitle"/>
        <w:jc w:val="center"/>
      </w:pPr>
      <w:r>
        <w:t>ИНЖЕНЕРНАЯ ИНФРАСТРУКТУРА. ДОКУМЕНТАЦИЯ.</w:t>
      </w:r>
    </w:p>
    <w:p w:rsidR="00000000" w:rsidRDefault="00C34460">
      <w:pPr>
        <w:pStyle w:val="ConsPlusTitle"/>
        <w:jc w:val="center"/>
      </w:pPr>
      <w:r>
        <w:t>ТЕХНИЧЕСКАЯ КОНЦЕПЦИЯ. ТРЕБОВАНИЯ К СОСТАВУ И СОДЕРЖАНИЮ</w:t>
      </w:r>
    </w:p>
    <w:p w:rsidR="00000000" w:rsidRDefault="00C34460">
      <w:pPr>
        <w:pStyle w:val="ConsPlusTitle"/>
        <w:jc w:val="center"/>
      </w:pPr>
    </w:p>
    <w:p w:rsidR="00000000" w:rsidRPr="00A37837" w:rsidRDefault="00C34460">
      <w:pPr>
        <w:pStyle w:val="ConsPlusTitle"/>
        <w:jc w:val="center"/>
        <w:rPr>
          <w:lang w:val="en-US"/>
        </w:rPr>
      </w:pPr>
      <w:r w:rsidRPr="00A37837">
        <w:rPr>
          <w:lang w:val="en-US"/>
        </w:rPr>
        <w:t>Data centers. Facilities. Documentation package.</w:t>
      </w:r>
    </w:p>
    <w:p w:rsidR="00000000" w:rsidRPr="00A37837" w:rsidRDefault="00C34460">
      <w:pPr>
        <w:pStyle w:val="ConsPlusTitle"/>
        <w:jc w:val="center"/>
        <w:rPr>
          <w:lang w:val="en-US"/>
        </w:rPr>
      </w:pPr>
      <w:r w:rsidRPr="00A37837">
        <w:rPr>
          <w:lang w:val="en-US"/>
        </w:rPr>
        <w:t>Technical concept. Requirements to composition and content</w:t>
      </w:r>
    </w:p>
    <w:p w:rsidR="00000000" w:rsidRPr="00A37837" w:rsidRDefault="00C34460">
      <w:pPr>
        <w:pStyle w:val="ConsPlusTitle"/>
        <w:jc w:val="center"/>
        <w:rPr>
          <w:lang w:val="en-US"/>
        </w:rPr>
      </w:pPr>
    </w:p>
    <w:p w:rsidR="00000000" w:rsidRDefault="00C34460">
      <w:pPr>
        <w:pStyle w:val="ConsPlusTitle"/>
        <w:jc w:val="center"/>
      </w:pPr>
      <w:r>
        <w:t>ГОСТ Р 70627-2023</w:t>
      </w:r>
    </w:p>
    <w:p w:rsidR="00000000" w:rsidRDefault="00C34460">
      <w:pPr>
        <w:pStyle w:val="ConsPlusNormal"/>
        <w:ind w:firstLine="540"/>
        <w:jc w:val="both"/>
      </w:pPr>
    </w:p>
    <w:p w:rsidR="00000000" w:rsidRPr="0015426C" w:rsidRDefault="00C34460">
      <w:pPr>
        <w:pStyle w:val="ConsPlusNormal"/>
        <w:jc w:val="right"/>
      </w:pPr>
      <w:r w:rsidRPr="0015426C">
        <w:t xml:space="preserve">ОКС </w:t>
      </w:r>
      <w:r w:rsidRPr="0015426C">
        <w:t>01.040.35</w:t>
      </w:r>
      <w:r w:rsidRPr="0015426C">
        <w:t>,</w:t>
      </w:r>
    </w:p>
    <w:p w:rsidR="00000000" w:rsidRPr="0015426C" w:rsidRDefault="00C34460">
      <w:pPr>
        <w:pStyle w:val="ConsPlusNormal"/>
        <w:jc w:val="right"/>
      </w:pPr>
      <w:r w:rsidRPr="0015426C">
        <w:t>01.040.93</w:t>
      </w:r>
    </w:p>
    <w:p w:rsidR="00000000" w:rsidRPr="0015426C" w:rsidRDefault="00C34460">
      <w:pPr>
        <w:pStyle w:val="ConsPlusNormal"/>
        <w:ind w:firstLine="540"/>
        <w:jc w:val="both"/>
      </w:pPr>
    </w:p>
    <w:p w:rsidR="00000000" w:rsidRPr="0015426C" w:rsidRDefault="00C34460">
      <w:pPr>
        <w:pStyle w:val="ConsPlusNormal"/>
        <w:jc w:val="right"/>
      </w:pPr>
      <w:r w:rsidRPr="0015426C">
        <w:rPr>
          <w:b/>
          <w:bCs/>
        </w:rPr>
        <w:t>Дата введени</w:t>
      </w:r>
      <w:r w:rsidRPr="0015426C">
        <w:rPr>
          <w:b/>
          <w:bCs/>
        </w:rPr>
        <w:t>я</w:t>
      </w:r>
    </w:p>
    <w:p w:rsidR="00000000" w:rsidRDefault="00C34460">
      <w:pPr>
        <w:pStyle w:val="ConsPlusNormal"/>
        <w:jc w:val="right"/>
      </w:pPr>
      <w:r>
        <w:rPr>
          <w:b/>
          <w:bCs/>
        </w:rPr>
        <w:t>1 марта 2023 года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Title"/>
        <w:jc w:val="center"/>
        <w:outlineLvl w:val="1"/>
      </w:pPr>
      <w:r>
        <w:t>Предисловие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  <w:r>
        <w:t>1 РАЗРАБОТАН Ассоциацией участников отрасли центров обработки данных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2 ВНЕСЕН Техническим комитетом по стандартизации ТК 120 "Центры обработки данных" ТК 120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3 УТВЕРЖДЕН И ВВЕДЕН В ДЕЙСТВИЕ </w:t>
      </w:r>
      <w:r w:rsidRPr="0015426C">
        <w:t>Приказом</w:t>
      </w:r>
      <w:r w:rsidRPr="0015426C">
        <w:t xml:space="preserve"> Ф</w:t>
      </w:r>
      <w:r>
        <w:t>едерального агентства по техническому регулированию и метрологии от 11 января 2023 г. N 5-ст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4 ВВЕДЕН ВПЕРВЫЕ</w:t>
      </w:r>
    </w:p>
    <w:p w:rsidR="00000000" w:rsidRPr="0015426C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  <w:r w:rsidRPr="0015426C">
        <w:rPr>
          <w:i/>
          <w:iCs/>
        </w:rPr>
        <w:t>Правила применения</w:t>
      </w:r>
      <w:r w:rsidRPr="0015426C">
        <w:rPr>
          <w:i/>
          <w:iCs/>
        </w:rPr>
        <w:t xml:space="preserve"> настоящего стандарта установлены в </w:t>
      </w:r>
      <w:r w:rsidRPr="0015426C">
        <w:rPr>
          <w:i/>
          <w:iCs/>
        </w:rPr>
        <w:t>статье 26</w:t>
      </w:r>
      <w:r w:rsidRPr="0015426C">
        <w:rPr>
          <w:i/>
          <w:iCs/>
        </w:rPr>
        <w:t xml:space="preserve"> Федерального закона от 29 июня 2015 г. N 162-ФЗ "О стандартизации в Российской Федерации". Ин</w:t>
      </w:r>
      <w:r w:rsidRPr="0015426C">
        <w:rPr>
          <w:i/>
          <w:iCs/>
        </w:rPr>
        <w:t>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</w:t>
      </w:r>
      <w:r>
        <w:rPr>
          <w:i/>
          <w:iCs/>
        </w:rPr>
        <w:t xml:space="preserve"> текст изменений и поправок - в ежемесячном информационном указателе "Национальны</w:t>
      </w:r>
      <w:r>
        <w:rPr>
          <w:i/>
          <w:iCs/>
        </w:rPr>
        <w:t xml:space="preserve">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стандарты". Соответствующая информация, уведомление и тексты </w:t>
      </w:r>
      <w:r>
        <w:rPr>
          <w:i/>
          <w:iCs/>
        </w:rPr>
        <w:t>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(www.rst.gov.ru)</w:t>
      </w:r>
    </w:p>
    <w:p w:rsidR="00000000" w:rsidRDefault="00C34460">
      <w:pPr>
        <w:pStyle w:val="ConsPlusNormal"/>
        <w:ind w:firstLine="540"/>
        <w:jc w:val="both"/>
      </w:pPr>
    </w:p>
    <w:p w:rsidR="00000000" w:rsidRDefault="0015426C">
      <w:pPr>
        <w:pStyle w:val="ConsPlusTitle"/>
        <w:jc w:val="center"/>
        <w:outlineLvl w:val="1"/>
      </w:pPr>
      <w:r>
        <w:br w:type="page"/>
      </w:r>
      <w:r w:rsidR="00C34460">
        <w:lastRenderedPageBreak/>
        <w:t>Введение</w:t>
      </w:r>
    </w:p>
    <w:p w:rsidR="00000000" w:rsidRPr="0015426C" w:rsidRDefault="00C34460">
      <w:pPr>
        <w:pStyle w:val="ConsPlusNormal"/>
        <w:ind w:firstLine="540"/>
        <w:jc w:val="both"/>
      </w:pPr>
    </w:p>
    <w:p w:rsidR="00000000" w:rsidRPr="0015426C" w:rsidRDefault="00C34460">
      <w:pPr>
        <w:pStyle w:val="ConsPlusNormal"/>
        <w:ind w:firstLine="540"/>
        <w:jc w:val="both"/>
      </w:pPr>
      <w:r w:rsidRPr="0015426C">
        <w:t xml:space="preserve">В соответствии с требованиями </w:t>
      </w:r>
      <w:r w:rsidRPr="0015426C">
        <w:t>ГОСТ Р 58811</w:t>
      </w:r>
      <w:r w:rsidRPr="0015426C">
        <w:t xml:space="preserve"> на стадии 3 "Техническая концепция" процесса создания инженерной инфраструктуры центра обработки данных (ИИ ЦОД) разрабатывается техническая концепция ИИ ЦОД.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Техническая концепци</w:t>
      </w:r>
      <w:r>
        <w:t>я (ТК) - комплект документов, предназначенных для описания вариантов реализации ИИ ЦОД и обоснования выбора варианта, удовлетворяющего требованиям заказчика. В общем случае при подготовке концепции ИИ ЦОД проводят разработку нескольких вариантов создаваемо</w:t>
      </w:r>
      <w:r>
        <w:t>го ЦОД и планов их реализации, анализ необходимых ресурсов на их реализацию и обеспечение функционирования, оценку преимуществ и недостатков каждого варианта, сопоставление требований заказчика и характеристик предлагаемой ИИ ЦОД и выбор оптимального вариа</w:t>
      </w:r>
      <w:r>
        <w:t>нта, оценку эффектов, получаемых от создания ЦОД.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Настоящий стандарт предназначен для формирования единого подхода к оформлению документации на создание ТК ИИ ЦОД.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Настоящий стандарт преследует следующие основные цели: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формализация отношений между участн</w:t>
      </w:r>
      <w:r>
        <w:t>иками рынка ЦОД в понимании содержания и объема работ при разработке ТК ИИ ЦОД;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способствование контролю над процессом создания ТК ИИ ЦОД и оценки результатов работ исполнителя со стороны заказчика;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предоставление заказчику понятного инструмента и крит</w:t>
      </w:r>
      <w:r>
        <w:t>ериев для оценки полноты выполненной работы по созданию ТК ИИ ЦОД.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Title"/>
        <w:ind w:firstLine="540"/>
        <w:jc w:val="both"/>
        <w:outlineLvl w:val="1"/>
      </w:pPr>
      <w:r>
        <w:t>1 Область применения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  <w:r>
        <w:t>Настоящий стандарт определяет состав и содержание комплекта документации технической концепции инженерной инфраструктуры центра обработки данных (ИИ ЦОД).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Настоящий с</w:t>
      </w:r>
      <w:r>
        <w:t>тандарт распространяется на ИИ ЦОД различного назначения, создаваемые любыми организациями, осуществляющими свою деятельность на территории Российской Федерации.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Title"/>
        <w:ind w:firstLine="540"/>
        <w:jc w:val="both"/>
        <w:outlineLvl w:val="1"/>
      </w:pPr>
      <w:r>
        <w:t>2 Нормативные ссылки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  <w:r>
        <w:t>В настоящем стандарте использованы нормативные ссылки на следующие стандарты:</w:t>
      </w:r>
    </w:p>
    <w:p w:rsidR="00000000" w:rsidRPr="0015426C" w:rsidRDefault="00C34460">
      <w:pPr>
        <w:pStyle w:val="ConsPlusNormal"/>
        <w:spacing w:before="240"/>
        <w:ind w:firstLine="540"/>
        <w:jc w:val="both"/>
      </w:pPr>
      <w:r w:rsidRPr="0015426C">
        <w:t>ГОСТ Р 21.101</w:t>
      </w:r>
      <w:r w:rsidRPr="0015426C">
        <w:t xml:space="preserve"> Система проектной документации для строительства. Основные требования</w:t>
      </w:r>
      <w:r w:rsidRPr="0015426C">
        <w:t xml:space="preserve"> к проектной и рабочей документации</w:t>
      </w:r>
    </w:p>
    <w:p w:rsidR="00000000" w:rsidRPr="0015426C" w:rsidRDefault="00C34460">
      <w:pPr>
        <w:pStyle w:val="ConsPlusNormal"/>
        <w:spacing w:before="240"/>
        <w:ind w:firstLine="540"/>
        <w:jc w:val="both"/>
      </w:pPr>
      <w:r w:rsidRPr="0015426C">
        <w:t>ГОСТ Р 58811-2020</w:t>
      </w:r>
      <w:r w:rsidRPr="0015426C">
        <w:t xml:space="preserve"> Центры обработки данных. Инженерная инфраструктура. Стадии создания</w:t>
      </w:r>
    </w:p>
    <w:p w:rsidR="00000000" w:rsidRPr="0015426C" w:rsidRDefault="00C34460">
      <w:pPr>
        <w:pStyle w:val="ConsPlusNormal"/>
        <w:spacing w:before="240"/>
        <w:ind w:firstLine="540"/>
        <w:jc w:val="both"/>
      </w:pPr>
      <w:r w:rsidRPr="0015426C">
        <w:t>ГОСТ Р 58812-2020</w:t>
      </w:r>
      <w:r w:rsidRPr="0015426C">
        <w:t xml:space="preserve"> Центры обработки данных. Инженерная инфраструктура. Операционная модель эксплуатации. Спецификация</w:t>
      </w:r>
    </w:p>
    <w:p w:rsidR="00000000" w:rsidRDefault="00C34460">
      <w:pPr>
        <w:pStyle w:val="ConsPlusNormal"/>
        <w:spacing w:before="240"/>
        <w:ind w:firstLine="540"/>
        <w:jc w:val="both"/>
      </w:pPr>
      <w:r w:rsidRPr="0015426C">
        <w:t>ГОСТ Р 70139</w:t>
      </w:r>
      <w:r w:rsidRPr="0015426C">
        <w:t xml:space="preserve"> Центры обработки</w:t>
      </w:r>
      <w:r>
        <w:t xml:space="preserve"> данных. Инженерная инфраструктура. Классификация</w:t>
      </w:r>
    </w:p>
    <w:p w:rsidR="00000000" w:rsidRDefault="00C34460">
      <w:pPr>
        <w:pStyle w:val="ConsPlusNormal"/>
        <w:spacing w:before="240"/>
        <w:ind w:firstLine="540"/>
        <w:jc w:val="both"/>
      </w:pPr>
      <w:r w:rsidRPr="0015426C">
        <w:lastRenderedPageBreak/>
        <w:t>ГОСТ Р ИСО 14644-1</w:t>
      </w:r>
      <w:r w:rsidRPr="0015426C">
        <w:t xml:space="preserve"> Чистые помещения и связанные с ними контролируемые среды. Часть 1. Классификация чистоты воздуха</w:t>
      </w:r>
      <w:r>
        <w:t xml:space="preserve"> по концентрации частиц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Примечание - При пользовании настоящим стандартом целесообразно проверить действие ссылочных стандартов в информационной системе общего</w:t>
      </w:r>
      <w:r>
        <w:t xml:space="preserve"> пользования - на официальном сайте Федерального агентства по техническому регулированию и метрологии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</w:t>
      </w:r>
      <w:r>
        <w:t>ускам ежемесячного информационного указателя "Национальные стандарты" за текущий год. Если заменен ссылочный стандарт, на который дана недатированная ссылка, то рекомендуется использовать версию этого стандарта с указанным выше годом утверждения (принятия)</w:t>
      </w:r>
      <w:r>
        <w:t>. Если после утверждения настоящего стандарта в ссылочный стандарт,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</w:t>
      </w:r>
      <w:r>
        <w:t>й стандарт отменен без замены, то положение, в котором дана ссылка на него, рекомендуется применять в части, не затрагивающей эту ссылку.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Title"/>
        <w:ind w:firstLine="540"/>
        <w:jc w:val="both"/>
        <w:outlineLvl w:val="1"/>
      </w:pPr>
      <w:r>
        <w:t>3 Термины, определения и сокращения</w:t>
      </w:r>
    </w:p>
    <w:p w:rsidR="00000000" w:rsidRPr="0015426C" w:rsidRDefault="00C34460">
      <w:pPr>
        <w:pStyle w:val="ConsPlusNormal"/>
        <w:ind w:firstLine="540"/>
        <w:jc w:val="both"/>
      </w:pPr>
    </w:p>
    <w:p w:rsidR="00000000" w:rsidRPr="0015426C" w:rsidRDefault="00C34460">
      <w:pPr>
        <w:pStyle w:val="ConsPlusNormal"/>
        <w:ind w:firstLine="540"/>
        <w:jc w:val="both"/>
      </w:pPr>
      <w:r w:rsidRPr="0015426C">
        <w:t xml:space="preserve">3.1 В настоящем стандарте применены термины по </w:t>
      </w:r>
      <w:r w:rsidRPr="0015426C">
        <w:t>ГОСТ Р 58811</w:t>
      </w:r>
      <w:r w:rsidRPr="0015426C">
        <w:t xml:space="preserve"> и </w:t>
      </w:r>
      <w:r w:rsidRPr="0015426C">
        <w:t>ГОСТ Р 58812</w:t>
      </w:r>
      <w:r w:rsidRPr="0015426C">
        <w:t>, а также следующие термины с соответствующими определениями:</w:t>
      </w:r>
    </w:p>
    <w:p w:rsidR="00000000" w:rsidRDefault="00C34460">
      <w:pPr>
        <w:pStyle w:val="ConsPlusNormal"/>
        <w:spacing w:before="240"/>
        <w:ind w:firstLine="540"/>
        <w:jc w:val="both"/>
      </w:pPr>
      <w:r w:rsidRPr="0015426C">
        <w:t xml:space="preserve">3.1.1 </w:t>
      </w:r>
      <w:r w:rsidRPr="0015426C">
        <w:rPr>
          <w:b/>
          <w:bCs/>
        </w:rPr>
        <w:t>техн</w:t>
      </w:r>
      <w:r w:rsidRPr="0015426C">
        <w:rPr>
          <w:b/>
          <w:bCs/>
        </w:rPr>
        <w:t>ическая концепция инженерной инфраструктуры центра обработки данных:</w:t>
      </w:r>
      <w:r w:rsidRPr="0015426C">
        <w:t xml:space="preserve"> Документ или комплект документов, в котором содержатся предварительные</w:t>
      </w:r>
      <w:r>
        <w:t xml:space="preserve"> технические решения и расчет совокупной стоимости владения инженерной инфраструктуры центра обработки данных, привод</w:t>
      </w:r>
      <w:r>
        <w:t>ится обоснование выбора решения для инженерной инфраструктуры центра обработки данных и высокоуровневый план реализации.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3.1.2 </w:t>
      </w:r>
      <w:r>
        <w:rPr>
          <w:b/>
          <w:bCs/>
        </w:rPr>
        <w:t>задание на разработку технической концепции инфраструктуры центра обработки данных:</w:t>
      </w:r>
      <w:r>
        <w:t xml:space="preserve"> Документ, в котором содержатся требования к р</w:t>
      </w:r>
      <w:r>
        <w:t>азработке технической концепции инженерной инфраструктуры центра обработки данных, включая общие показатели центра обработки данных, отдельных систем инженерной инфраструктуры центра обработки данных и другие показатели назначения.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3.1.3 </w:t>
      </w:r>
      <w:r>
        <w:rPr>
          <w:b/>
          <w:bCs/>
        </w:rPr>
        <w:t>совокупная стоимос</w:t>
      </w:r>
      <w:r>
        <w:rPr>
          <w:b/>
          <w:bCs/>
        </w:rPr>
        <w:t>ть владения центром обработки данных:</w:t>
      </w:r>
      <w:r>
        <w:t xml:space="preserve"> Сумма материальных и временных затрат, связанных с проектированием, приобретением, монтажом, пусконаладкой и обслуживанием центра обработки данных и его систем.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3.2 В настоящем стандарте применены следующие сокращения: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ЕСКД - Единая система конструкторской документации;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ИИ - инженерная инфраструктура;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ИТ - информационная технология;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ИТС - инженерно-технические системы;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СКС - структурированная кабельная система;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СПДС - Система проектной документации для строительства;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ТЗ</w:t>
      </w:r>
      <w:r>
        <w:t xml:space="preserve"> - техническое задание;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lastRenderedPageBreak/>
        <w:t>ТК - техническая концепция;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ЦОД - центр обработки данных.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Title"/>
        <w:ind w:firstLine="540"/>
        <w:jc w:val="both"/>
        <w:outlineLvl w:val="1"/>
      </w:pPr>
      <w:r>
        <w:t>4 Общие положения</w:t>
      </w:r>
    </w:p>
    <w:p w:rsidR="00000000" w:rsidRDefault="00C34460">
      <w:pPr>
        <w:pStyle w:val="ConsPlusNormal"/>
        <w:ind w:firstLine="540"/>
        <w:jc w:val="both"/>
      </w:pPr>
    </w:p>
    <w:p w:rsidR="00000000" w:rsidRPr="0015426C" w:rsidRDefault="00C34460">
      <w:pPr>
        <w:pStyle w:val="ConsPlusNormal"/>
        <w:ind w:firstLine="540"/>
        <w:jc w:val="both"/>
      </w:pPr>
      <w:r>
        <w:t xml:space="preserve">Требования к содержанию документов, разрабатываемых при создании ИИ ЦОД, установлены настоящим стандартом (в части ТК на создание ИИ ЦОД), а также соответствующими национальными стандартами ЕСКД, СПДС и </w:t>
      </w:r>
      <w:r w:rsidRPr="0015426C">
        <w:t>ГОСТ Р 21.101</w:t>
      </w:r>
      <w:r w:rsidRPr="0015426C">
        <w:t>.</w:t>
      </w:r>
    </w:p>
    <w:p w:rsidR="00000000" w:rsidRDefault="00C34460">
      <w:pPr>
        <w:pStyle w:val="ConsPlusNormal"/>
        <w:spacing w:before="240"/>
        <w:ind w:firstLine="540"/>
        <w:jc w:val="both"/>
      </w:pPr>
      <w:r w:rsidRPr="0015426C">
        <w:t>Содержание документов является общим для всех видов ИИ ЦОД и, при</w:t>
      </w:r>
      <w:r>
        <w:t xml:space="preserve"> необходимости, может быть дополнено разработчиком документов в зависимости от особенностей создаваемой ИИ ЦОД. Допускается включать в</w:t>
      </w:r>
      <w:r>
        <w:t xml:space="preserve"> документы дополнительные разделы и сведения, а также объединять и исключать разделы.</w:t>
      </w:r>
    </w:p>
    <w:p w:rsidR="00000000" w:rsidRDefault="00C34460" w:rsidP="0015426C">
      <w:pPr>
        <w:pStyle w:val="ConsPlusNormal"/>
        <w:spacing w:before="240"/>
        <w:ind w:firstLine="540"/>
        <w:jc w:val="both"/>
      </w:pPr>
      <w:r>
        <w:t>Содержание каждого документа, разрабатываемого при создании ТК ИИ ЦОД определяет разработчик в зависимости от объекта проектирования (здание, комплекс, система, подсистем</w:t>
      </w:r>
      <w:r>
        <w:t>а и т.д.).</w:t>
      </w:r>
    </w:p>
    <w:p w:rsidR="00000000" w:rsidRDefault="00C34460">
      <w:pPr>
        <w:pStyle w:val="ConsPlusNormal"/>
        <w:spacing w:before="300"/>
        <w:ind w:firstLine="540"/>
        <w:jc w:val="both"/>
      </w:pPr>
      <w:r>
        <w:t xml:space="preserve">Содержание документов, разрабатываемых на предпроектных стадиях </w:t>
      </w:r>
      <w:r w:rsidRPr="0015426C">
        <w:t xml:space="preserve">по </w:t>
      </w:r>
      <w:r w:rsidRPr="0015426C">
        <w:t>ГОСТ 58811</w:t>
      </w:r>
      <w:r w:rsidRPr="0015426C">
        <w:t>, определяют разработчики в зависимости от объема информации, необходимой и достаточной д</w:t>
      </w:r>
      <w:r>
        <w:t>ля дальнейшего использования документов и с учетом действующих</w:t>
      </w:r>
      <w:r>
        <w:t xml:space="preserve"> национальных стандартов на ИИ ЦОД.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Документы, при необходимости, сброшюровывают в книги или тома, к которым составляют описи.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Title"/>
        <w:ind w:firstLine="540"/>
        <w:jc w:val="both"/>
        <w:outlineLvl w:val="1"/>
      </w:pPr>
      <w:r>
        <w:t>5 Требования к составу комплекта документации технической концепции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  <w:r>
        <w:t>В состав комплекта документации ТК ИИ ЦОД входят: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а) поясни</w:t>
      </w:r>
      <w:r>
        <w:t>тельная записка к ТК ИИ ЦОД;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б) дополнительные документы и материалы (при необходимости).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Title"/>
        <w:ind w:firstLine="540"/>
        <w:jc w:val="both"/>
        <w:outlineLvl w:val="1"/>
      </w:pPr>
      <w:r>
        <w:t>6 Требования к содержанию документации технической концепции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  <w:r>
        <w:t>В настоящем разделе приведены требования к содержанию основного документа, входящего в комплект документации ТК ИИ ЦОД - пояснительной записки.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Title"/>
        <w:ind w:firstLine="540"/>
        <w:jc w:val="both"/>
        <w:outlineLvl w:val="2"/>
      </w:pPr>
      <w:r>
        <w:t>6.1 Требования к содержанию пояснительной записки технической концепции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  <w:r>
        <w:t>Пояснительная записка ТК должна содерж</w:t>
      </w:r>
      <w:r>
        <w:t>ать следующие разделы: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а) "Общие сведения";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б) "Основные показатели проектируемого ЦОД";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в) "Методика выполнения работ";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г) "Описание вариантов технических решений для отдельных систем";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lastRenderedPageBreak/>
        <w:t xml:space="preserve">д) "Описание вариантов технического решения для реализации комплекса </w:t>
      </w:r>
      <w:r>
        <w:t>систем";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е) "Расчет совокупной стоимости владения ЦОД";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ж) "Обоснование выбора технического решения для реализации";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и) "План реализации выбранного технического решения".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В том случае, если для достижения целей концептуального проектирования ИИ ЦОД исполни</w:t>
      </w:r>
      <w:r>
        <w:t>телю требуется разработать дополнительные разделы в пояснительной записке ТК ЦОД, он вправе это сделать без согласования с заказчиком.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rPr>
          <w:b/>
          <w:bCs/>
        </w:rPr>
        <w:t>6.1.1 Требования к содержанию раздела "Общие сведения"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Раздел "Общие сведения" является обязательным и должен содержать с</w:t>
      </w:r>
      <w:r>
        <w:t>ледующие сведения (подразделы):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сведения о заказчике и исполнителе работ;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основание для проведения работ;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полное и краткое наименование работ;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цели и задачи проведения работ;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другие сведения общего характера.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В подразделе "Сведения о заказчике и </w:t>
      </w:r>
      <w:r>
        <w:t>исполнителе" должны быть приведены полные и краткие наименования организаций заказчика и исполнителя. Дополнительно могут быть приведены сведения о местонахождении заказчика и исполнителя (юридические и почтовые адреса) и другие сведения об участниках рабо</w:t>
      </w:r>
      <w:r>
        <w:t>т.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В подразделе "Основание для проведения работ" должны быть приведены сведения об основаниях для проведения работ: решениях законодательных и исполнительных органов власти, решениях муниципальных властей (если применимо), наименованиях программ и проектов</w:t>
      </w:r>
      <w:r>
        <w:t xml:space="preserve"> заказчика, реквизитах договоров с исполнителем, на основании которых проводят работы, и другие сведения.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В подразделе "Полное и краткое наименование работ" приводят полное и краткое наименование работ (проекта), в ходе которых разработана ТК. Наименования</w:t>
      </w:r>
      <w:r>
        <w:t xml:space="preserve"> могут быть заимствованы из договора между заказчиком и исполнителем и иных документов, устанавливающих данные наименования.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В подразделе "Цели и задачи проведения работ" приводят цель(и) проведения работ по созданию ТК ЦОД и перечисляются основные задачи,</w:t>
      </w:r>
      <w:r>
        <w:t xml:space="preserve"> которые были выполнены в ходе исполнения работ по созданию ТК ЦОД.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rPr>
          <w:b/>
          <w:bCs/>
        </w:rPr>
        <w:t>6.1.2 Требования к содержанию раздела "Основные показатели проектируемого ЦОД"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Раздел "Основные показатели проектируемого ЦОД" является обязательным и должен содержать следующие сведения (подразделы):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lastRenderedPageBreak/>
        <w:t>- назначение ЦОД;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месторасположение площадки строительства;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базовый набор технических показателей (требований) к проектируемому ЦО</w:t>
      </w:r>
      <w:r>
        <w:t xml:space="preserve">Д (рекомендуемые базовые показатели приведены в </w:t>
      </w:r>
      <w:hyperlink w:anchor="Par284" w:tooltip="БАЗОВЫЙ НАБОР ПОКАЗАТЕЛЕЙ" w:history="1">
        <w:r>
          <w:rPr>
            <w:color w:val="0000FF"/>
          </w:rPr>
          <w:t>приложении А</w:t>
        </w:r>
      </w:hyperlink>
      <w:r>
        <w:t>);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- расширенный набор технических показателей (требований) к проектируемому ЦОД (рекомендуемые расширенные показатели приведены в </w:t>
      </w:r>
      <w:hyperlink w:anchor="Par349" w:tooltip="РАСШИРЕННЫЙ НАБОР ПОКАЗАТЕЛЕЙ" w:history="1">
        <w:r>
          <w:rPr>
            <w:color w:val="0000FF"/>
          </w:rPr>
          <w:t>приложении Б</w:t>
        </w:r>
      </w:hyperlink>
      <w:r>
        <w:t>);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планируемые сроки реализации проекта (все стадии);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экономические параметры ЦОД (если применимо).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Для каждого показателя (требования) должны быть указаны значение и источник требований (напри</w:t>
      </w:r>
      <w:r>
        <w:t>мер, ТЗ на ТК, протокол согласования с заказчиком и т.п.).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Разработку ТК ведут на основании задания на разработку ТК ЦОД, подготовка которого - обязанность заказчика. Раздел "Основные показатели проектируемого ЦОД" должен содержать основные требования зака</w:t>
      </w:r>
      <w:r>
        <w:t>зчика к проектируемому объекту, которые приведены в задании на разработку ТК. В случае отсутствия в задании на разработку ТК существенных требований к ИИ ЦОД, необходимых для достижения цели разработки ТК - обоснованного выбора технического решения для реа</w:t>
      </w:r>
      <w:r>
        <w:t>лизации ЦОД, исполнитель может предложить заказчику совместно определить эти требования и зафиксировать двусторонним протоколом.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rPr>
          <w:b/>
          <w:bCs/>
        </w:rPr>
        <w:t>6.1.3 Требования к содержанию раздела "Методика выполнения работ"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Раздел "Методика выполнения работ" является обязательным и до</w:t>
      </w:r>
      <w:r>
        <w:t>лжен содержать следующие сведения, раскрывающие примененные исполнителем методики и подходы к выполнению работ по разработке ТК: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последовательность этапов, фаз, шагов по разработке ТК;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примененные подходы, методы и нормативы для анализа и оценки;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реа</w:t>
      </w:r>
      <w:r>
        <w:t>лизованный порядок взаимодействия с заказчиком и другими участниками выполнения работ;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другие сведения, которые раскрывают подходы и методики исполнителя.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Примечание - Рекомендуется при разработке ТК придерживаться следующей последовательности работ: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а) </w:t>
      </w:r>
      <w:r>
        <w:t>предварительный анализ применимости технологий и решений для конкретного объекта и зоны предполагаемого строительства с целью исключения из дальнейшего рассмотрения неподходящих вариантов;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б) разработка вариантов технических решений, включая: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1) предварите</w:t>
      </w:r>
      <w:r>
        <w:t>льные планировочные решения территории,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2) предварительные архитектурно-планировочные решения,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lastRenderedPageBreak/>
        <w:t>3) предварительные решения для основных систем ИИ ЦОД,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4) предварительные решения для вспомогательных ИИ ЦОД;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в) расчет совокупной стоимости владения ЦОД;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г) обо</w:t>
      </w:r>
      <w:r>
        <w:t>снование выбора технического решения для реализации комплекса ИИ ЦОД;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д) планирование работ по реализации выбранного технического решения комплекса ИИ ЦОД.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  <w:bookmarkStart w:id="0" w:name="Par146"/>
      <w:bookmarkEnd w:id="0"/>
      <w:r>
        <w:rPr>
          <w:b/>
          <w:bCs/>
        </w:rPr>
        <w:t>6.1.4 Требования к содержанию раздела "Описание вариантов технических решений для отдел</w:t>
      </w:r>
      <w:r>
        <w:rPr>
          <w:b/>
          <w:bCs/>
        </w:rPr>
        <w:t>ьных систем"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6.1.4.1 Общие требования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Предварительные технические решения ИИ ЦОД должны быть привязаны к площадке, выбранной в ходе обследования (предпроектная стадия 1 "Предпроектное обследование", </w:t>
      </w:r>
      <w:hyperlink r:id="rId8" w:history="1">
        <w:r>
          <w:rPr>
            <w:color w:val="0000FF"/>
          </w:rPr>
          <w:t>этап 1.2</w:t>
        </w:r>
      </w:hyperlink>
      <w:r>
        <w:t xml:space="preserve"> по 6.1 ГОСТ Р 58811-2020).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Количество вариантов технической реализации для основных систем ЦОД (см. </w:t>
      </w:r>
      <w:hyperlink w:anchor="Par441" w:tooltip="ОСНОВНЫЕ И ВСПОМОГАТЕЛЬНЫЕ СИСТЕМЫ" w:history="1">
        <w:r>
          <w:rPr>
            <w:color w:val="0000FF"/>
          </w:rPr>
          <w:t>приложение В</w:t>
        </w:r>
      </w:hyperlink>
      <w:r>
        <w:t>) может быть установлено заказчиком в ТЗ на ТК. В случае отсутствия подобного требования количество вариантов определяется исполнителем самостоятельно. Рекомендуется прорабатывать не менее двух и не более трех ва</w:t>
      </w:r>
      <w:r>
        <w:t>риантов. Решения для вспомогательных систем ЦОД по усмотрению исполнителя могут быть разработаны на безальтернативной основе.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Раздел является обязательным. В разделе "Описание вариантов технических решений для отдельных систем" должны быть предусмотрены сл</w:t>
      </w:r>
      <w:r>
        <w:t>едующие сведения (подразделы):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архитектурно-планировочные решения и планировочные решения территории;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предварительные технические решения для основных систем ИИ ЦОД;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предварительные технические решения для вспомогательных систем ИИ ЦОД;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технические</w:t>
      </w:r>
      <w:r>
        <w:t xml:space="preserve"> показатели для рассматриваемого варианта, отличающиеся от заданных для проектируемого ЦОД.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Перечень основных и вспомогательных систем ИИ ЦОД приведен в </w:t>
      </w:r>
      <w:hyperlink w:anchor="Par445" w:tooltip="В.1.1 Основные инженерно-технические системы:" w:history="1">
        <w:r>
          <w:rPr>
            <w:color w:val="0000FF"/>
          </w:rPr>
          <w:t>В.1.1</w:t>
        </w:r>
      </w:hyperlink>
      <w:r>
        <w:t xml:space="preserve"> и </w:t>
      </w:r>
      <w:hyperlink w:anchor="Par448" w:tooltip="В.1.2 Вспомогательные инженерно-технические системы:" w:history="1">
        <w:r>
          <w:rPr>
            <w:color w:val="0000FF"/>
          </w:rPr>
          <w:t>В.1.2</w:t>
        </w:r>
      </w:hyperlink>
      <w:r>
        <w:t xml:space="preserve"> приложения В.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При формировании перечня систем для разработки предварительных технических решений рекомендуется также использовать </w:t>
      </w:r>
      <w:hyperlink r:id="rId9" w:history="1">
        <w:r>
          <w:rPr>
            <w:color w:val="0000FF"/>
          </w:rPr>
          <w:t>приложение А</w:t>
        </w:r>
      </w:hyperlink>
      <w:r>
        <w:t xml:space="preserve"> ГОСТ Р 58812-2020. По согласованию между заказчиком и исполнителем при обоснованной необходимости в состав основных систем ИИ ЦОД могут быть включены и другие системы.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6.1.4.2 Требования </w:t>
      </w:r>
      <w:r>
        <w:t>к содержанию подразделов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Подраздел "Архитектурно-планировочные решения и планировочные решения территории" является обязательным и должен содержать следующие сведения: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- возможные варианты строительной подготовки, включая различные варианты </w:t>
      </w:r>
      <w:r>
        <w:lastRenderedPageBreak/>
        <w:t>строительства н</w:t>
      </w:r>
      <w:r>
        <w:t>ового здания (если применимо);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предварительные решения по размещению оборудования на площадке;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выбор строительных технологий (если применимо);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подтвержденная оценка стоимости;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выводы и рекомендации.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По согласованию с заказчиком для отдельных типов </w:t>
      </w:r>
      <w:r>
        <w:t>ЦОД (например, модульных ЦОД) исполнитель может не разрабатывать подраздел "Архитектурно-планировочные решения и планировочные решения территории" или разрабатывать его с ограниченным содержанием.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Подраздел "Предварительные технические решения для основных</w:t>
      </w:r>
      <w:r>
        <w:t xml:space="preserve"> систем ИИ ЦОД" является обязательным и должен содержать следующие сведения для каждой основной системы: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назначение;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основные параметры функционирования;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состав;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выбор технологии (если применимо);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возможные варианты технической реализации &lt;*&gt;;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--</w:t>
      </w:r>
      <w:r>
        <w:t>------------------------------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&lt;*&gt; Количество вариантов технической реализации может быть установлено заказчиком в ТЗ на ТК. В случае отсутствия подобного требования количество вариантов определяется исполнителем самостоятельно.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  <w:r>
        <w:t>- подтвержденная оценка стоимости;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оценка рисков реализации вариантов;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выводы и рекомендации.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При разработке подраздела "Предварительные технические решения для основных систем ИИ ЦОД" исполнитель должен включить в него следующие материалы: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структурн</w:t>
      </w:r>
      <w:r>
        <w:t>ая схема электроснабжения;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таблица мощностей по основным потребителям;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структурная схема холодоснабжения: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таблица теплопритоков по основным потребителям;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данные по подбору основного оборудования;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поэтажные планы с расположением основного инженерн</w:t>
      </w:r>
      <w:r>
        <w:t>ого оборудования.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lastRenderedPageBreak/>
        <w:t>Подраздел "Предварительные технические решения для вспомогательных систем ИИ ЦОД" является обязательным и должен содержать следующие сведения для каждой вспомогательной системы: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назначение;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основные параметры функционирования;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соста</w:t>
      </w:r>
      <w:r>
        <w:t>в;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предложение технической реализации;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экспертная оценка стоимости реализации.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В тех случаях, когда отсутствие проработанных вариантов для отдельных вспомогательных систем ИИ ЦОД может привести к значительному снижению точности оценки стоимости реализа</w:t>
      </w:r>
      <w:r>
        <w:t>ции ИИ ЦОД (более 5%), исполнитель может выполнить разработку предварительных технических решений для вспомогательных систем ИИ ЦОД в объеме, аналогичном основным системам ИИ ЦОД.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Если применимо, то для каждой основной или вспомогательной системы ИИ ЦОД в </w:t>
      </w:r>
      <w:r>
        <w:t>подразделах "Предварительные технические решения для основных систем ИИ ЦОД" и "Предварительные технические решения для вспомогательных систем ИИ ЦОД" могут быть описаны требуемые ресурсы для подключения к внешним сетям (электроснабжение, газоснабжение, во</w:t>
      </w:r>
      <w:r>
        <w:t>доснабжение, водоотведение, сети связи, теплоснабжение и др.).</w:t>
      </w:r>
    </w:p>
    <w:p w:rsidR="00000000" w:rsidRDefault="00C34460">
      <w:pPr>
        <w:pStyle w:val="ConsPlusNormal"/>
        <w:spacing w:before="240"/>
        <w:ind w:firstLine="540"/>
        <w:jc w:val="both"/>
      </w:pPr>
      <w:bookmarkStart w:id="1" w:name="Par192"/>
      <w:bookmarkEnd w:id="1"/>
      <w:r>
        <w:rPr>
          <w:b/>
          <w:bCs/>
        </w:rPr>
        <w:t>6.1.5 Требования к содержанию раздела "Описание вариантов технического решения для реализации комплекса систем"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Раздел "Описание вариантов технического решения для реализации компле</w:t>
      </w:r>
      <w:r>
        <w:t>кса систем" является обязательным и должен содержать следующую информацию (подразделы):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а) описание вариантов комплекса систем, включающее: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1) решения и технологии выбранные (предлагаемые) для реализации отдельных систем комплекса,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2) сводные технические п</w:t>
      </w:r>
      <w:r>
        <w:t>оказатели комплекса,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3) сводные данные по стоимости оборудования систем комплекса,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4) описание рисков реализации вариантов комплекса;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б) предложение и обоснование выбора варианта(ов) комплекса систем для последующего сравнения путем расчета совокупной стои</w:t>
      </w:r>
      <w:r>
        <w:t>мости владения.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Рекомендуется формировать не более трех альтернативных вариантов решений для комплекса систем ИИ ЦОД.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rPr>
          <w:b/>
          <w:bCs/>
        </w:rPr>
        <w:t>6.1.6 Требования к содержанию раздела "Расчет совокупной стоимости владения ЦОД"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Раздел "Расчет совокупной стоимости владения ЦОД" является обязательным и должен </w:t>
      </w:r>
      <w:r>
        <w:lastRenderedPageBreak/>
        <w:t>содержать следующие сведения (подразделы):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основные исходные данные для расчета;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методика расчета;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ограничения и оговорки;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результаты расчета;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другие сведения по рас</w:t>
      </w:r>
      <w:r>
        <w:t>чету совокупной стоимости владения ЦОД.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В подразделе "Основные исходные данные для расчета" должны быть приведены экономические, технические и организационные показатели ЦОД, являющиеся драйверами расчета (ключевыми факторами, влияющими на результат расчет</w:t>
      </w:r>
      <w:r>
        <w:t>а, метрики стоимости) совокупной стоимости владения.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Совокупная стоимость владения ЦОД должна включать следующие виды затрат на различных стадиях жизненного цикла проектируемого ЦОД: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а) для стадии подготовительных (предпроектных) работ затраты: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1) на прове</w:t>
      </w:r>
      <w:r>
        <w:t>дение предпроектного обследования зданий и территории,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2) поиск и покупку площадки (если применимо),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3) разработку ТЗ на создание ЦОД,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4) разработку технико-экономического обоснования (ТЭО) ЦОД (если применимо),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5) другие;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б) для стадии строительства затра</w:t>
      </w:r>
      <w:r>
        <w:t>ты: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1) на разработку проектной документации,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2) получение технических условий на подключение внешних коммуникаций,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3) разработку рабочей документации,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4) проведение экспертизы проектной документации,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5) реализацию предварительных технических условий на под</w:t>
      </w:r>
      <w:r>
        <w:t>ключение внешних коммуникаций (в случае их предоставления заказчиком),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6) строительство капитальных сооружений (если применимо) и благоустройство площадки,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7) строительство ИИ ЦОД,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8) проведение испытаний ИИ ЦОД,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9) другие;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lastRenderedPageBreak/>
        <w:t>в) для стадии эксплуатации затра</w:t>
      </w:r>
      <w:r>
        <w:t>ты: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1) на фонд оплаты труда персонала ЦОД,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2) услуги технической поддержки производителей и специализированных организаций,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3) обучение персонала,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4) электроэнергию,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5) воду и газ, используемые в технологическом оборудовании (если применимо),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6) обновление инженерного оборудования (частей оборудования) по мере его износа (выработки ресурса) в пределах расчетного срока эксплуатации,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7) профилактические и аварийные ремонты,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8) общехозяйственные расходы,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9) отчисления по налогу на землю и на имуще</w:t>
      </w:r>
      <w:r>
        <w:t>ство,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10) другие.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В разделе "Расчет совокупной стоимости владения ЦОД" должны быть приведены бюджетные оценки стоимости по всем перечисленным выше видам затрат.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Расчет совокупной стоимости владения ИИ ЦОД выполняется на срок 10 лет эксплуатации с шагом в о</w:t>
      </w:r>
      <w:r>
        <w:t>дин год.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Расчет рекомендуется проводить в упрощенной форме, без учета инфляции, роста тарифов, коэффициента дисконтирования и других финансовых показателей для проведения оценки различных вариантов реализации концепции в актуальной базовой форме.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В случае </w:t>
      </w:r>
      <w:r>
        <w:t xml:space="preserve">обоснованной необходимости заказчик может потребовать проведение расчета совокупной стоимости владения ЦОД с учетом определенных финансово-экономических показателей. В этом случае перечень всех финансово-экономических показателей должен быть приведен в ТЗ </w:t>
      </w:r>
      <w:r>
        <w:t>на разработку ТК ИИ ЦОД.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В подразделе "Методика расчета" должна быть приведена методика расчета или оценки основных видов затрат на различных стадиях жизненного цикла проектируемого ЦОД.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В подразделе "Ограничения и оговорки" должны быть описаны ограничения</w:t>
      </w:r>
      <w:r>
        <w:t xml:space="preserve"> выполненного расчета (по уровню точности, по составу учтенных компонентов расчета, по сроку действия расчета и оценок и т.п.).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В подразделе "Результаты расчета" должны быть приведены результаты расчета и оценок по всем видам затрат и общий итог.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Рекоменду</w:t>
      </w:r>
      <w:r>
        <w:t>ется сводить расчеты для всех вариантов в сравнительную таблицу.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Совокупная стоимость владения должна быть рассчитана для всех вариантов решений для ЦОД и учитывать сведения </w:t>
      </w:r>
      <w:hyperlink w:anchor="Par146" w:tooltip="6.1.4 Требования к содержанию раздела &quot;Описание вариантов технических решений для отдельных систем&quot;" w:history="1">
        <w:r>
          <w:rPr>
            <w:color w:val="0000FF"/>
          </w:rPr>
          <w:t>6.1.4</w:t>
        </w:r>
      </w:hyperlink>
      <w:r>
        <w:t xml:space="preserve"> и </w:t>
      </w:r>
      <w:hyperlink w:anchor="Par192" w:tooltip="6.1.5 Требования к содержанию раздела &quot;Описание вариантов технического решения для реализации комплекса систем&quot;" w:history="1">
        <w:r>
          <w:rPr>
            <w:color w:val="0000FF"/>
          </w:rPr>
          <w:t>6.1.5</w:t>
        </w:r>
      </w:hyperlink>
      <w:r>
        <w:t>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rPr>
          <w:b/>
          <w:bCs/>
        </w:rPr>
        <w:lastRenderedPageBreak/>
        <w:t xml:space="preserve">6.1.7 Требования к содержанию раздела "Обоснование </w:t>
      </w:r>
      <w:r>
        <w:rPr>
          <w:b/>
          <w:bCs/>
        </w:rPr>
        <w:t>выбора технического решения для реализации"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Раздел "Обоснование выбора решения для реализации" должен включать обоснованные предложения по выбору единственного решения (варианта) ЦОД.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В разделе должны быть приведены выводы по результатам расчета или оценки</w:t>
      </w:r>
      <w:r>
        <w:t xml:space="preserve"> совокупной стоимости владения ЦОД по заданным вариантам с учетом сравнения и оценки рисков их реализации.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rPr>
          <w:b/>
          <w:bCs/>
        </w:rPr>
        <w:t>6.1.8 Требования к содержанию раздела "План реализации выбранного технического решения"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Раздел "План реализации выбранного технического решения" явля</w:t>
      </w:r>
      <w:r>
        <w:t>ется обязательным и должен содержать следующие сведения (подразделы):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ограничения и оговорки для планирования;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план работ по стадиям и этапам создания ЦОД;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состав основных работ по каждой(ому) стадии и этапу;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основные результаты работ по каждой(ому</w:t>
      </w:r>
      <w:r>
        <w:t>) стадии и этапу;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оценки длительности работ по каждой(ому) стадии и этапу;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суммарная длительность работ по созданию ЦОД;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описание основных рисков для каждой(ого) стадии и этапа с краткими описаниями мер по смягчению их последствий;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другие сведения, необходимые для предварительного планирования реализации выбранного технического решения.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 xml:space="preserve">При планировании стадийности работ, их состава и результатов необходимо использовать положения </w:t>
      </w:r>
      <w:hyperlink r:id="rId10" w:history="1">
        <w:r>
          <w:rPr>
            <w:color w:val="0000FF"/>
          </w:rPr>
          <w:t>ГОСТ Р 58811</w:t>
        </w:r>
      </w:hyperlink>
      <w:r>
        <w:t xml:space="preserve"> и других действующих нормативных документов.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Оценка длительности работ может проводиться по нескольким сценариям: например, "оптимистичный" и "пессимистичный". Исполнитель по согласованию с заказчиком</w:t>
      </w:r>
      <w:r>
        <w:t xml:space="preserve"> может предложить другой набор сценариев для оценки длительности работ по созданию ИИ ЦОД.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Title"/>
        <w:ind w:firstLine="540"/>
        <w:jc w:val="both"/>
        <w:outlineLvl w:val="2"/>
      </w:pPr>
      <w:r>
        <w:t>6.2 Требования к содержанию дополнительных материалов и документов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  <w:r>
        <w:t>Следует прилагать к комплекту документации ТК ИИ ЦОД следующие дополнительные документы и матери</w:t>
      </w:r>
      <w:r>
        <w:t>алы: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копии документов и материалов, собранных в ходе разработки технических решений ИИ ЦОД;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другие документы и материалы, необходимые для иллюстрации и обоснования технических решений ИИ ЦОД.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lastRenderedPageBreak/>
        <w:t>К документам и материалам, собранным в ходе разработки предв</w:t>
      </w:r>
      <w:r>
        <w:t>арительных технических решений и необходимым для обоснования технических решений ИИ ЦОД, могут быть отнесены: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а) технические спецификации основного оборудования;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б) иллюстративные материалы по решениям, продуктам и технологиям;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в) индикативные коммерческие</w:t>
      </w:r>
      <w:r>
        <w:t xml:space="preserve"> предложения по отдельным единицам оборудования и программного обеспечения;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г) индикативные коммерческие предложения по работам по монтажу, пусконаладке, эксплуатации и т.п.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Технические спецификации рекомендуется использовать в обязательном порядке для обо</w:t>
      </w:r>
      <w:r>
        <w:t>рудования основных систем и, при необходимости, в целях увеличения точности расчета экономических показателей ИИ ЦОД - для оборудования вспомогательных систем.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К иллюстративным материалам по решениям, продуктам и технологиям относят материалы производителе</w:t>
      </w:r>
      <w:r>
        <w:t>й оборудования и программного обеспечения, аналитические отчеты по различным типам оборудования и сегментам рынков и др.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Индикативные коммерческие предложения по оборудованию, программному обеспечению и работам должны быть собраны в ходе подготовки раздело</w:t>
      </w:r>
      <w:r>
        <w:t>в ТК ЦОД по вариантам технических решений и по совокупной стоимости владения.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При наличии дополнительных материалов и документов на них в тексте ТК ЦОД могут быть сделаны ссылки, а в приложении к пояснительной записке ТК ЦОД может быть подготовлен аннотиро</w:t>
      </w:r>
      <w:r>
        <w:t>ванный перечень материалов.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</w:p>
    <w:p w:rsidR="00000000" w:rsidRDefault="00DF3296">
      <w:pPr>
        <w:pStyle w:val="ConsPlusNormal"/>
        <w:ind w:firstLine="540"/>
        <w:jc w:val="both"/>
      </w:pPr>
      <w:r>
        <w:br w:type="page"/>
      </w:r>
      <w:bookmarkStart w:id="2" w:name="_GoBack"/>
      <w:bookmarkEnd w:id="2"/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jc w:val="right"/>
        <w:outlineLvl w:val="0"/>
      </w:pPr>
      <w:r>
        <w:rPr>
          <w:b/>
          <w:bCs/>
        </w:rPr>
        <w:t>Приложение А</w:t>
      </w:r>
    </w:p>
    <w:p w:rsidR="00000000" w:rsidRDefault="00C34460">
      <w:pPr>
        <w:pStyle w:val="ConsPlusNormal"/>
        <w:jc w:val="right"/>
      </w:pPr>
      <w:r>
        <w:rPr>
          <w:b/>
          <w:bCs/>
        </w:rPr>
        <w:t>(справочное)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Title"/>
        <w:jc w:val="center"/>
      </w:pPr>
      <w:bookmarkStart w:id="3" w:name="Par284"/>
      <w:bookmarkEnd w:id="3"/>
      <w:r>
        <w:t>БАЗОВЫЙ НАБОР ПОКАЗАТЕЛЕЙ</w:t>
      </w:r>
    </w:p>
    <w:p w:rsidR="00000000" w:rsidRDefault="00C34460">
      <w:pPr>
        <w:pStyle w:val="ConsPlusTitle"/>
        <w:jc w:val="center"/>
      </w:pPr>
      <w:r>
        <w:t>ПРОЕКТИРУЕМОГО ЦЕНТРА ОБРАБОТКИ ДАННЫХ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  <w:r>
        <w:t>В настоящем приложении определен набор базовых показателей (требований) к проектируемому ЦОД, которые должны быть описаны в разделе "Основные показатели проектируемого ЦОД" технической концепции.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jc w:val="right"/>
      </w:pPr>
      <w:r>
        <w:t>Таблица А.1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jc w:val="center"/>
      </w:pPr>
      <w:r>
        <w:t>Базовые показатели проектируемого ЦОД</w:t>
      </w:r>
    </w:p>
    <w:p w:rsidR="00000000" w:rsidRDefault="00C344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3798"/>
      </w:tblGrid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4460">
            <w:pPr>
              <w:pStyle w:val="ConsPlusNormal"/>
              <w:jc w:val="center"/>
            </w:pPr>
            <w:r>
              <w:t>Наимено</w:t>
            </w:r>
            <w:r>
              <w:t>вание группы показателей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446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4460">
            <w:pPr>
              <w:pStyle w:val="ConsPlusNormal"/>
              <w:jc w:val="center"/>
            </w:pPr>
            <w:r>
              <w:t>Описание показателя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Прочие показатели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П5.01.02 Общее количество серверных монтажных шкафов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Значение общего количества серверных монтажных шкафов (размещенных и имеющихся возможностей для размещения), шт.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Этапность строительства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Требования к последовательности ввода частей комплекса ИИ ЦОД в эксплуатацию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П.1.03.01 Допустимые размеры серверных монтажных шкафов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Определяет возможность размещения шкафов с установленн</w:t>
            </w:r>
            <w:r>
              <w:t>ыми размерами (д x ш x в), м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П1.04.01 Наличие зон с ограниченным доступом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Наличие/возможность формирования зон с ограниченным доступом (путем установки ограждений)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П.1.05.01 Площадь выделенного зала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Площадь пом</w:t>
            </w:r>
            <w:r>
              <w:t>ещения, доступная для размещения ИТ-оборудования, кв. м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П1.05.02 Допускаемое количество серверных монтажных шкафов для размещения в выделенном зале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Максимально допустимое для размещения количество серверных монтажных шкафов, шт.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</w:t>
            </w:r>
            <w:r>
              <w:t>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 xml:space="preserve">П1.05.03 Подведенная мощность на выделенный зал для </w:t>
            </w:r>
            <w:r>
              <w:lastRenderedPageBreak/>
              <w:t>ИТ-нагрузки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lastRenderedPageBreak/>
              <w:t xml:space="preserve">Суммарная подведенная мощность для подключения </w:t>
            </w:r>
            <w:r>
              <w:lastRenderedPageBreak/>
              <w:t>ИТ-оборудования в выделенном зале, кВт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lastRenderedPageBreak/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П1.05.</w:t>
            </w:r>
            <w:r>
              <w:t>04 Независимость (автономность) функционирования выделенного зала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Уровень независимости ключевых компонентов услуг ИИ ЦОД в выделенном зале от остальной части ЦОД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 xml:space="preserve">П1.06.01 Энергонагруженность на серверный монтажный шкаф </w:t>
            </w:r>
            <w:hyperlink w:anchor="Par340" w:tooltip="&lt;*&gt; Здесь и далее код показателя вида Пx.x.x приводится по ГОСТ Р 70139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Максимальная подводимая мощность на один серверный монтажный шкаф, кВт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П1.06.02 Общая мощность электроснабжения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Общая подведенная мощность эл</w:t>
            </w:r>
            <w:r>
              <w:t>ектроснабжения на объект, МВт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П1.06.03 Общая доступная мощность электроснабжения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Общая доступная для ИТ-нагрузки мощность электроснабжения, МВт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П1.06.09 Количество вводов на один серверный монтажный шкаф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Количе</w:t>
            </w:r>
            <w:r>
              <w:t>ство отдельных вводов электроснабжения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надежности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П2.04.01.02 Уровень резервирования компонент системы электроснабжения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Предусмотренные проектом схемы резервирования и их влияние на надежность системы электроснабжения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надежности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П2.04.02.02 Уровень резервирования компонент системы отвода тепла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Предусмотренные проектом схемы резервирования и их влияние на надежность системы отвода тепла</w:t>
            </w:r>
          </w:p>
        </w:tc>
      </w:tr>
    </w:tbl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  <w:r>
        <w:t>--------------------------------</w:t>
      </w:r>
    </w:p>
    <w:p w:rsidR="00000000" w:rsidRDefault="00C34460">
      <w:pPr>
        <w:pStyle w:val="ConsPlusNormal"/>
        <w:spacing w:before="240"/>
        <w:ind w:firstLine="540"/>
        <w:jc w:val="both"/>
      </w:pPr>
      <w:bookmarkStart w:id="4" w:name="Par340"/>
      <w:bookmarkEnd w:id="4"/>
      <w:r>
        <w:t>&lt;*&gt; Здесь и далее код показателя вида Пx.x.x прив</w:t>
      </w:r>
      <w:r>
        <w:t xml:space="preserve">одится по </w:t>
      </w:r>
      <w:hyperlink r:id="rId11" w:history="1">
        <w:r>
          <w:rPr>
            <w:color w:val="0000FF"/>
          </w:rPr>
          <w:t>ГОСТ Р 70139</w:t>
        </w:r>
      </w:hyperlink>
      <w:r>
        <w:t>.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jc w:val="right"/>
        <w:outlineLvl w:val="0"/>
      </w:pPr>
      <w:r>
        <w:rPr>
          <w:b/>
          <w:bCs/>
        </w:rPr>
        <w:t>Приложение Б</w:t>
      </w:r>
    </w:p>
    <w:p w:rsidR="00000000" w:rsidRDefault="00C34460">
      <w:pPr>
        <w:pStyle w:val="ConsPlusNormal"/>
        <w:jc w:val="right"/>
      </w:pPr>
      <w:r>
        <w:rPr>
          <w:b/>
          <w:bCs/>
        </w:rPr>
        <w:t>(справочное)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Title"/>
        <w:jc w:val="center"/>
      </w:pPr>
      <w:bookmarkStart w:id="5" w:name="Par349"/>
      <w:bookmarkEnd w:id="5"/>
      <w:r>
        <w:t>РАСШИРЕННЫЙ НАБОР ПОКАЗАТЕЛЕЙ</w:t>
      </w:r>
    </w:p>
    <w:p w:rsidR="00000000" w:rsidRDefault="00C34460">
      <w:pPr>
        <w:pStyle w:val="ConsPlusTitle"/>
        <w:jc w:val="center"/>
      </w:pPr>
      <w:r>
        <w:t>ПРОЕКТИРУЕМОГО ЦЕНТРА ОБРАБОТКИ ДАННЫХ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  <w:r>
        <w:t xml:space="preserve">В настоящем приложении </w:t>
      </w:r>
      <w:r>
        <w:t>определен рекомендуемый набор расширенных показателей (требований) к проектируемому ЦОД, которые должны быть описаны в разделе "Основные показатели проектируемого ЦОД" технической концепции.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jc w:val="right"/>
      </w:pPr>
      <w:r>
        <w:t>Таблица Б.1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jc w:val="center"/>
      </w:pPr>
      <w:r>
        <w:lastRenderedPageBreak/>
        <w:t>Расширенные показатели проектируемого ЦОД</w:t>
      </w:r>
    </w:p>
    <w:p w:rsidR="00000000" w:rsidRDefault="00C344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3798"/>
      </w:tblGrid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4460">
            <w:pPr>
              <w:pStyle w:val="ConsPlusNormal"/>
              <w:jc w:val="center"/>
            </w:pPr>
            <w:r>
              <w:t>Наименование группы показателей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446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4460">
            <w:pPr>
              <w:pStyle w:val="ConsPlusNormal"/>
              <w:jc w:val="center"/>
            </w:pPr>
            <w:r>
              <w:t>Описание показателя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П1.01 Тип предоставляемых услуг ИИ ЦОД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Перечень услуг ИИ ЦОД, предоставляемых данным объектом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П1.02.02 Допустимый вес оборудования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Опр</w:t>
            </w:r>
            <w:r>
              <w:t>еделяет возможность размещения оборудования с установленной массой, кг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П1.03.02 Групповые ограничения на допустимые габариты серверных монтажных шкафов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Определяет ограничения на возможность размещения шкафов с установленными габаритами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П1.08.03 Чистота помещения (по наличию частиц в воздухе)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 xml:space="preserve">Класс </w:t>
            </w:r>
            <w:r w:rsidRPr="0015426C">
              <w:t xml:space="preserve">помещения по </w:t>
            </w:r>
            <w:r w:rsidRPr="0015426C">
              <w:t>ГОСТ Р ИСО 14644-1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П1.11.04 Наличие доступных для потребителей услуг вспомогательных помещений для обслуживания и ремонта ИТ-оборудования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Характеризует наличие и порядок использования специальных помещения для п</w:t>
            </w:r>
            <w:r>
              <w:t>роведения работ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П1.15.01.04 Численность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Наличие персонала в необходимом количестве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надежности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П2.04.04.01 Влияние планового обслуживания прочих систем ИИ ЦОД на предоставление услуг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Оценка предусмотренных проект</w:t>
            </w:r>
            <w:r>
              <w:t>ом условий проведения планового обслуживания и его влияния на функционирование критичных систем и предоставление услуг ИИ ЦОД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П2.04.04.02 Влияние отказов прочих систем ИИ ЦОД на предоставление услуг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Предусмотренные проектом схемы рез</w:t>
            </w:r>
            <w:r>
              <w:t>ервирования прочих систем и их влияние на надежность критичных систем и предоставление услуг ИИ ЦОД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П1.06.10 Вид электрического тока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Допустимый вид электрического тока (переменный/постоянный)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П1.07.01 Количество отводимой теплоты (за 1 с)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Максимальное количество отводимого тепла на отдельный серверный монтажный шкаф за 1 с, кВт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 xml:space="preserve">Показатели </w:t>
            </w:r>
            <w:r>
              <w:lastRenderedPageBreak/>
              <w:t>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lastRenderedPageBreak/>
              <w:t xml:space="preserve">Максимальная температура в </w:t>
            </w:r>
            <w:r>
              <w:lastRenderedPageBreak/>
              <w:t>холодном коридоре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lastRenderedPageBreak/>
              <w:t xml:space="preserve">Целевая температура в холодном </w:t>
            </w:r>
            <w:r>
              <w:lastRenderedPageBreak/>
              <w:t>коридоре, °C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lastRenderedPageBreak/>
              <w:t>Показ</w:t>
            </w:r>
            <w:r>
              <w:t>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 xml:space="preserve">Разница температур на входе и выходе ИТ-оборудования </w:t>
            </w:r>
            <w:r w:rsidR="00293678">
              <w:rPr>
                <w:noProof/>
                <w:position w:val="-8"/>
              </w:rPr>
              <w:drawing>
                <wp:inline distT="0" distB="0" distL="0" distR="0">
                  <wp:extent cx="364490" cy="2559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°C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Определяет разницу температуры на входе и выходе ИТ-оборудования: на выходе температура равна температуре в холодном коридоре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Количество портов СКС, шт.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Определяет общее количество портов СКС для ИТ-оборудования и ИИ ЦОД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Доля портов СКС каждого типа, %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Определяет долю каждого типа портов СКС (например, оптический, медный и т.п.)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Скорость портов СКС каждого типа, Гбит/с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Определяет требования к скорости портов СКС каждого типа, определенного показателем "Доля портов СКС каждого типа"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назначения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П1.14.03 Масштабируемость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Определяет потенциальные возм</w:t>
            </w:r>
            <w:r>
              <w:t>ожности расширения площадей машинных залов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надежности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П2.04.01.01 Влияние планового обслуживания системы электроснабжения на предоставление услуг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Оценка предусмотренных проектом условий проведения планового обслуживания и его влияния на функцио</w:t>
            </w:r>
            <w:r>
              <w:t>нирование системы электроснабжения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надежности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П2.04.01.03 Надежность альтернативной генерации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Сводная оценка надежности альтернативной генерации, предусмотренной проектом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надежности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П2.04.01.04 Схема энерговводов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Определяет схему по</w:t>
            </w:r>
            <w:r>
              <w:t>дключения объекта к внешним источникам энергоснабжения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надежности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П2.04.02.01 Влияние планового обслуживания системы отвода тепла на предоставление услуг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Оценка предусмотренных проектом условий проведения планового обслуживания и его влияния на</w:t>
            </w:r>
            <w:r>
              <w:t xml:space="preserve"> функционирование системы отвода тепла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Показатели безопасности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П3.02.01 Инженерно-техническая укрепленность объекта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Определяет уровень реализации инженерно-технической укрепленности объекта, прилегающей территории, критически важных внешних элементов инженерных систем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lastRenderedPageBreak/>
              <w:t>Прочие показатели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П5.03.01 Уровень стационарности/мобильности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Отражает, насколько легко ЦОД может быть</w:t>
            </w:r>
            <w:r>
              <w:t xml:space="preserve"> перемещаем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Прочие показатели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П5.03.03 Уровень модульности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Отражает уровень стандартизации компонент конструктива и инженерных систем для целей масштабирования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Прочие показатели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П5.05.01 Фактическая эффективность использования энергии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460">
            <w:pPr>
              <w:pStyle w:val="ConsPlusNormal"/>
            </w:pPr>
            <w:r>
              <w:t>Характеризует факти</w:t>
            </w:r>
            <w:r>
              <w:t>ческую эффективность использования электрической энергии и являет собой отношение всей потребленной энергии к потребляемой энергии ИТ-оборудованием</w:t>
            </w:r>
          </w:p>
        </w:tc>
      </w:tr>
    </w:tbl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jc w:val="right"/>
        <w:outlineLvl w:val="0"/>
      </w:pPr>
      <w:r>
        <w:rPr>
          <w:b/>
          <w:bCs/>
        </w:rPr>
        <w:t>Приложение В</w:t>
      </w:r>
    </w:p>
    <w:p w:rsidR="00000000" w:rsidRDefault="00C34460">
      <w:pPr>
        <w:pStyle w:val="ConsPlusNormal"/>
        <w:jc w:val="right"/>
      </w:pPr>
      <w:r>
        <w:rPr>
          <w:b/>
          <w:bCs/>
        </w:rPr>
        <w:t>(справочное)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Title"/>
        <w:jc w:val="center"/>
      </w:pPr>
      <w:bookmarkStart w:id="6" w:name="Par441"/>
      <w:bookmarkEnd w:id="6"/>
      <w:r>
        <w:t>ОСНОВНЫЕ И ВСПОМОГАТЕЛЬНЫЕ СИСТЕМЫ</w:t>
      </w:r>
    </w:p>
    <w:p w:rsidR="00000000" w:rsidRDefault="00C34460">
      <w:pPr>
        <w:pStyle w:val="ConsPlusTitle"/>
        <w:jc w:val="center"/>
      </w:pPr>
      <w:r>
        <w:t>ИНЖЕНЕРНОЙ ИНФРАСТРУКТУРЫ ЦЕНТРА ОБРАБОТКИ ДАННЫХ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  <w:r>
        <w:t>В.1 В настоящем приложении приведены перечни двух типов систем ИИ ЦОД - основных и вспомогательных: основные системы ИИ ЦОД в общем случае оказывают существенное влияние на точность и полноту ТК как в техн</w:t>
      </w:r>
      <w:r>
        <w:t>ической, так и в финансовой части; вспомогательные системы ИИ ЦОД в общем случае должны быть включены в комплекс ИИ ЦОД, но оценки их финансовых показателей могут быть выполнены экспертными методами.</w:t>
      </w:r>
    </w:p>
    <w:p w:rsidR="00000000" w:rsidRDefault="00C34460">
      <w:pPr>
        <w:pStyle w:val="ConsPlusNormal"/>
        <w:spacing w:before="240"/>
        <w:ind w:firstLine="540"/>
        <w:jc w:val="both"/>
      </w:pPr>
      <w:bookmarkStart w:id="7" w:name="Par445"/>
      <w:bookmarkEnd w:id="7"/>
      <w:r>
        <w:t>В.1.1 Основные инженерно-технические системы</w:t>
      </w:r>
      <w:r>
        <w:t>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электроснабжения;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холодоснабжения.</w:t>
      </w:r>
    </w:p>
    <w:p w:rsidR="00000000" w:rsidRDefault="00C34460">
      <w:pPr>
        <w:pStyle w:val="ConsPlusNormal"/>
        <w:spacing w:before="240"/>
        <w:ind w:firstLine="540"/>
        <w:jc w:val="both"/>
      </w:pPr>
      <w:bookmarkStart w:id="8" w:name="Par448"/>
      <w:bookmarkEnd w:id="8"/>
      <w:r>
        <w:t>В.1.2 Вспомогательные инженерно-технические системы: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отопления, вентиляции и комфортного кондиционирования воздуха;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водоснабжения;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водоотведения;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система кабеленесущих конструкций;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структуриров</w:t>
      </w:r>
      <w:r>
        <w:t>анная кабельная система;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охранно-тревожная сигнализация;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lastRenderedPageBreak/>
        <w:t>- система контроля доступа;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видеонаблюдения;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видеоконференц-связи;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телефонной связи;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регистрации переговоров;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голосового оповещения;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радиосвязи;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электрочасофикации;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сбора и отображе</w:t>
      </w:r>
      <w:r>
        <w:t>ния информации;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автоматизированная система диспетчеризации и управления;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газового пожаротушения;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пожарной сигнализации;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- раннего обнаружения пожара.</w:t>
      </w:r>
    </w:p>
    <w:p w:rsidR="00000000" w:rsidRDefault="00C34460">
      <w:pPr>
        <w:pStyle w:val="ConsPlusNormal"/>
        <w:spacing w:before="240"/>
        <w:ind w:firstLine="540"/>
        <w:jc w:val="both"/>
      </w:pPr>
      <w:r>
        <w:t>Примечание - В зависимости от целей и задач ТК ЦОД при расчете финансовых параметров ЦОД могут быть приняты во внимание внешние инженерные сети.</w:t>
      </w: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Pr="0015426C" w:rsidRDefault="00C34460">
            <w:pPr>
              <w:pStyle w:val="ConsPlusNormal"/>
            </w:pPr>
            <w:r w:rsidRPr="0015426C">
              <w:t>УДК 69.05:654.09:006.354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Pr="0015426C" w:rsidRDefault="00C34460">
            <w:pPr>
              <w:pStyle w:val="ConsPlusNormal"/>
              <w:jc w:val="right"/>
            </w:pPr>
            <w:r w:rsidRPr="0015426C">
              <w:t xml:space="preserve">ОКС </w:t>
            </w:r>
            <w:r w:rsidRPr="0015426C">
              <w:t>01.040.35</w:t>
            </w:r>
            <w:r w:rsidRPr="0015426C">
              <w:t>,</w:t>
            </w:r>
          </w:p>
          <w:p w:rsidR="00000000" w:rsidRPr="0015426C" w:rsidRDefault="00C34460">
            <w:pPr>
              <w:pStyle w:val="ConsPlusNormal"/>
              <w:jc w:val="right"/>
            </w:pPr>
            <w:r w:rsidRPr="0015426C">
              <w:t>01.040.93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Pr="0015426C" w:rsidRDefault="00C34460">
            <w:pPr>
              <w:pStyle w:val="ConsPlusNormal"/>
              <w:jc w:val="both"/>
            </w:pPr>
            <w:r w:rsidRPr="0015426C">
              <w:t>Ключевые слова: центр обработки данных, инженерная инфраструктура, стадии соз</w:t>
            </w:r>
            <w:r w:rsidRPr="0015426C">
              <w:t>дания, техническая концепция, документация, технические решения</w:t>
            </w:r>
          </w:p>
        </w:tc>
      </w:tr>
    </w:tbl>
    <w:p w:rsidR="00000000" w:rsidRDefault="00C34460">
      <w:pPr>
        <w:pStyle w:val="ConsPlusNormal"/>
        <w:ind w:firstLine="540"/>
        <w:jc w:val="both"/>
      </w:pPr>
    </w:p>
    <w:p w:rsidR="00000000" w:rsidRDefault="00C34460">
      <w:pPr>
        <w:pStyle w:val="ConsPlusNormal"/>
        <w:ind w:firstLine="540"/>
        <w:jc w:val="both"/>
      </w:pPr>
    </w:p>
    <w:p w:rsidR="00C34460" w:rsidRDefault="00C344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34460" w:rsidSect="0015426C">
      <w:headerReference w:type="default" r:id="rId13"/>
      <w:footerReference w:type="default" r:id="rId14"/>
      <w:pgSz w:w="11906" w:h="16838"/>
      <w:pgMar w:top="1440" w:right="566" w:bottom="1440" w:left="1133" w:header="0" w:footer="32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460" w:rsidRDefault="00C34460">
      <w:pPr>
        <w:spacing w:after="0" w:line="240" w:lineRule="auto"/>
      </w:pPr>
      <w:r>
        <w:separator/>
      </w:r>
    </w:p>
  </w:endnote>
  <w:endnote w:type="continuationSeparator" w:id="0">
    <w:p w:rsidR="00C34460" w:rsidRDefault="00C3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3446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6C" w:rsidRDefault="0015426C">
    <w:pPr>
      <w:pStyle w:val="a5"/>
      <w:jc w:val="right"/>
    </w:pPr>
    <w:r w:rsidRPr="0015426C">
      <w:rPr>
        <w:sz w:val="16"/>
        <w:szCs w:val="16"/>
      </w:rPr>
      <w:t>ГОСТ Р 70627-2023</w:t>
    </w:r>
    <w:r>
      <w:t xml:space="preserve">           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00000" w:rsidRDefault="00C3446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460" w:rsidRDefault="00C34460">
      <w:pPr>
        <w:spacing w:after="0" w:line="240" w:lineRule="auto"/>
      </w:pPr>
      <w:r>
        <w:separator/>
      </w:r>
    </w:p>
  </w:footnote>
  <w:footnote w:type="continuationSeparator" w:id="0">
    <w:p w:rsidR="00C34460" w:rsidRDefault="00C3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3446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3446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37"/>
    <w:rsid w:val="0015426C"/>
    <w:rsid w:val="00293678"/>
    <w:rsid w:val="00A37837"/>
    <w:rsid w:val="00C34460"/>
    <w:rsid w:val="00D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D86C74"/>
  <w14:defaultImageDpi w14:val="0"/>
  <w15:docId w15:val="{D902E8A0-01EF-46B0-B9EB-3F91C0E2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78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837"/>
  </w:style>
  <w:style w:type="paragraph" w:styleId="a5">
    <w:name w:val="footer"/>
    <w:basedOn w:val="a"/>
    <w:link w:val="a6"/>
    <w:uiPriority w:val="99"/>
    <w:unhideWhenUsed/>
    <w:rsid w:val="00A378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STR&amp;n=25346&amp;date=18.08.2023&amp;dst=100099&amp;field=134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login.consultant.ru/link/?req=doc&amp;demo=1&amp;base=STR&amp;n=29743&amp;date=18.08.2023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1&amp;base=STR&amp;n=25346&amp;date=18.08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STR&amp;n=25345&amp;date=18.08.2023&amp;dst=100849&amp;fie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5334</Words>
  <Characters>30409</Characters>
  <Application>Microsoft Office Word</Application>
  <DocSecurity>2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70627-2023. Национальный стандарт Российской Федерации. Центры обработки данных. Инженерная инфраструктура. Документация. Техническая концепция. Требования к составу и содержанию"(утв. и введен в действие Приказом Росстандарта от 11.01.2023 N 5-ст</vt:lpstr>
    </vt:vector>
  </TitlesOfParts>
  <Company>КонсультантПлюс Версия 4022.00.55</Company>
  <LinksUpToDate>false</LinksUpToDate>
  <CharactersWithSpaces>35672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70627-2023. Национальный стандарт Российской Федерации. Центры обработки данных. Инженерная инфраструктура. Документация. Техническая концепция. Требования к составу и содержанию"(утв. и введен в действие Приказом Росстандарта от 11.01.2023 N 5-ст</dc:title>
  <dc:subject/>
  <dc:creator>Филин Сергей Александрович</dc:creator>
  <cp:keywords/>
  <dc:description/>
  <cp:lastModifiedBy>Филин Сергей Александрович</cp:lastModifiedBy>
  <cp:revision>2</cp:revision>
  <dcterms:created xsi:type="dcterms:W3CDTF">2023-08-18T07:36:00Z</dcterms:created>
  <dcterms:modified xsi:type="dcterms:W3CDTF">2023-08-18T07:36:00Z</dcterms:modified>
</cp:coreProperties>
</file>